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2"/>
        <w:gridCol w:w="2202"/>
        <w:gridCol w:w="1891"/>
        <w:gridCol w:w="957"/>
        <w:gridCol w:w="812"/>
        <w:gridCol w:w="400"/>
        <w:gridCol w:w="1002"/>
        <w:gridCol w:w="1421"/>
      </w:tblGrid>
      <w:tr w:rsidR="00895222" w:rsidRPr="00B778D5" w:rsidTr="003241DA">
        <w:trPr>
          <w:trHeight w:val="469"/>
        </w:trPr>
        <w:tc>
          <w:tcPr>
            <w:tcW w:w="1610" w:type="dxa"/>
            <w:vMerge w:val="restart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3CCC854" wp14:editId="322DEBA0">
                  <wp:extent cx="742950" cy="742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0" w:type="auto"/>
            <w:vMerge w:val="restart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6B519F1" wp14:editId="0CB0EA9A">
                  <wp:extent cx="765740" cy="730231"/>
                  <wp:effectExtent l="0" t="0" r="0" b="0"/>
                  <wp:docPr id="6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222" w:rsidRPr="00B778D5" w:rsidTr="003241DA">
        <w:trPr>
          <w:trHeight w:val="366"/>
        </w:trPr>
        <w:tc>
          <w:tcPr>
            <w:tcW w:w="1610" w:type="dxa"/>
            <w:vMerge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6"/>
            <w:shd w:val="clear" w:color="auto" w:fill="BFBFBF" w:themeFill="background1" w:themeFillShade="BF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0" w:type="auto"/>
            <w:vMerge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5222" w:rsidRPr="00B778D5" w:rsidTr="003241DA">
        <w:tc>
          <w:tcPr>
            <w:tcW w:w="16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888" w:type="dxa"/>
            <w:gridSpan w:val="3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218" w:type="dxa"/>
            <w:gridSpan w:val="3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5222" w:rsidRPr="00B778D5" w:rsidTr="003241DA"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ЊЕГА ХИРУРШКОГ БОЛЕСНИКА СА ХИРУРГИЈОМ</w:t>
            </w:r>
          </w:p>
        </w:tc>
      </w:tr>
      <w:tr w:rsidR="00895222" w:rsidRPr="00B778D5" w:rsidTr="003241DA"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хируршке гране, Медицински 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</w:t>
            </w:r>
          </w:p>
        </w:tc>
      </w:tr>
      <w:tr w:rsidR="00895222" w:rsidRPr="00B778D5" w:rsidTr="003241DA">
        <w:trPr>
          <w:trHeight w:val="230"/>
        </w:trPr>
        <w:tc>
          <w:tcPr>
            <w:tcW w:w="38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0" w:type="auto"/>
            <w:gridSpan w:val="4"/>
            <w:vMerge w:val="restart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95222" w:rsidRPr="00B778D5" w:rsidTr="003241DA">
        <w:trPr>
          <w:trHeight w:val="230"/>
        </w:trPr>
        <w:tc>
          <w:tcPr>
            <w:tcW w:w="38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95222" w:rsidRPr="00B778D5" w:rsidTr="003241DA">
        <w:tc>
          <w:tcPr>
            <w:tcW w:w="3868" w:type="dxa"/>
            <w:gridSpan w:val="2"/>
            <w:shd w:val="clear" w:color="auto" w:fill="auto"/>
            <w:vAlign w:val="center"/>
          </w:tcPr>
          <w:p w:rsidR="00895222" w:rsidRPr="00B778D5" w:rsidRDefault="004B46BA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895222" w:rsidRPr="00B778D5">
              <w:rPr>
                <w:rFonts w:ascii="Arial Narrow" w:hAnsi="Arial Narrow" w:cs="Times New Roman"/>
                <w:sz w:val="20"/>
                <w:szCs w:val="20"/>
              </w:rPr>
              <w:t>-1-028-5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895222" w:rsidRPr="00B778D5" w:rsidTr="003241DA"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rPr>
                <w:rFonts w:ascii="Arial Narrow" w:hAnsi="Arial Narrow"/>
                <w:sz w:val="20"/>
                <w:szCs w:val="20"/>
              </w:rPr>
            </w:pP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>Проф. др Вељко Марић,</w:t>
            </w:r>
            <w:r w:rsidRPr="00B778D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проф. др Зоран Радовановић</w:t>
            </w:r>
            <w:r w:rsidRPr="00B778D5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, </w:t>
            </w:r>
            <w:r w:rsidRPr="00B778D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 Владимир Банчевић, </w:t>
            </w: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Сања Марић, проф. др Радмил Марић, проф. др Вјеран Саратлић, проф. др Миливоје Достић,  </w:t>
            </w:r>
            <w:r w:rsidRPr="00B778D5">
              <w:rPr>
                <w:rFonts w:ascii="Arial Narrow" w:hAnsi="Arial Narrow"/>
                <w:sz w:val="20"/>
                <w:szCs w:val="20"/>
                <w:lang w:val="sr-Cyrl-CS"/>
              </w:rPr>
              <w:t>проф</w:t>
            </w: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др Максим Ковачевић,  доц. др Милорад Бијеловић, </w:t>
            </w:r>
            <w:r w:rsidRPr="00B778D5">
              <w:rPr>
                <w:rFonts w:ascii="Arial Narrow" w:hAnsi="Arial Narrow"/>
                <w:sz w:val="20"/>
                <w:szCs w:val="20"/>
                <w:lang w:val="sr-Cyrl-RS"/>
              </w:rPr>
              <w:t>д</w:t>
            </w:r>
            <w:r w:rsidRPr="00B778D5">
              <w:rPr>
                <w:rFonts w:ascii="Arial Narrow" w:hAnsi="Arial Narrow"/>
                <w:sz w:val="20"/>
                <w:szCs w:val="20"/>
              </w:rPr>
              <w:t>оц.</w:t>
            </w: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 Ненад Лаловић.</w:t>
            </w:r>
          </w:p>
        </w:tc>
      </w:tr>
      <w:tr w:rsidR="00895222" w:rsidRPr="00B778D5" w:rsidTr="003241DA"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>Виши асист.  др Раде Милетић, виши асист. др Далибор Потпара</w:t>
            </w:r>
            <w:r w:rsidRPr="00B778D5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B778D5">
              <w:rPr>
                <w:rFonts w:ascii="Arial Narrow" w:hAnsi="Arial Narrow"/>
                <w:sz w:val="20"/>
                <w:szCs w:val="20"/>
                <w:lang w:val="sr-Cyrl-CS"/>
              </w:rPr>
              <w:t>Виши асист.</w:t>
            </w: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>др Ђорђе Вељовић, Виши асист. др Вања Старовић, Виши асист. др Хелена Кујун</w:t>
            </w:r>
            <w:r w:rsidRPr="00B778D5">
              <w:rPr>
                <w:rFonts w:ascii="Arial Narrow" w:hAnsi="Arial Narrow"/>
                <w:sz w:val="20"/>
                <w:szCs w:val="20"/>
                <w:lang w:val="sr-Cyrl-RS"/>
              </w:rPr>
              <w:t>џ</w:t>
            </w: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>ић Марић, асист.др Велибор Симетић,  др Зоран Шаренац, клинички сарадник.</w:t>
            </w:r>
          </w:p>
        </w:tc>
      </w:tr>
      <w:tr w:rsidR="00895222" w:rsidRPr="00B778D5" w:rsidTr="003241DA">
        <w:tc>
          <w:tcPr>
            <w:tcW w:w="560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895222" w:rsidRPr="00B778D5" w:rsidTr="003241DA">
        <w:tc>
          <w:tcPr>
            <w:tcW w:w="1610" w:type="dxa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0" w:type="auto"/>
            <w:gridSpan w:val="2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B778D5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95222" w:rsidRPr="00B778D5" w:rsidTr="003241DA">
        <w:tc>
          <w:tcPr>
            <w:tcW w:w="1610" w:type="dxa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0,88</w:t>
            </w:r>
          </w:p>
        </w:tc>
      </w:tr>
      <w:tr w:rsidR="00895222" w:rsidRPr="00B778D5" w:rsidTr="003241DA">
        <w:tc>
          <w:tcPr>
            <w:tcW w:w="73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60+0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27+ 53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40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120</w:t>
            </w:r>
          </w:p>
        </w:tc>
      </w:tr>
      <w:tr w:rsidR="00895222" w:rsidRPr="00B778D5" w:rsidTr="00895222">
        <w:tc>
          <w:tcPr>
            <w:tcW w:w="1013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90+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120= 210 </w:t>
            </w:r>
            <w:r w:rsidRPr="00B778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895222" w:rsidRPr="00B778D5" w:rsidTr="003241DA"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B778D5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B778D5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B778D5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B778D5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895222" w:rsidRPr="00B778D5" w:rsidRDefault="00895222" w:rsidP="00895222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895222" w:rsidRPr="00B778D5" w:rsidRDefault="00895222" w:rsidP="0089522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TimesNewRoman" w:hAnsi="Arial Narrow"/>
                <w:sz w:val="20"/>
                <w:szCs w:val="20"/>
                <w:lang w:val="bs-Cyrl-BA"/>
              </w:rPr>
            </w:pPr>
            <w:r w:rsidRPr="00B778D5">
              <w:rPr>
                <w:rFonts w:ascii="Arial Narrow" w:eastAsia="TimesNewRoman" w:hAnsi="Arial Narrow"/>
                <w:sz w:val="20"/>
                <w:szCs w:val="20"/>
                <w:lang w:val="sr-Latn-CS"/>
              </w:rPr>
              <w:t>C</w:t>
            </w:r>
            <w:r w:rsidRPr="00B778D5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тудент ћедасеупозна са методама клиничког испитивања, дијагностичким поступцима, преоперативнојприпреми и лечењу; упозна са поступцима реанимације; упозна са патологијом и хируршким болестимаи повредама;</w:t>
            </w:r>
          </w:p>
          <w:p w:rsidR="00895222" w:rsidRPr="00B778D5" w:rsidRDefault="00895222" w:rsidP="0089522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TimesNewRoman" w:hAnsi="Arial Narrow"/>
                <w:sz w:val="20"/>
                <w:szCs w:val="20"/>
                <w:lang w:val="bs-Cyrl-BA"/>
              </w:rPr>
            </w:pPr>
            <w:r w:rsidRPr="00B778D5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Оспособити их за решавање специфичних проблема и потреба, како у превентиви тако и у лечењу које треба тимски, дијагностички и терапијски решавати;</w:t>
            </w:r>
          </w:p>
          <w:p w:rsidR="00895222" w:rsidRPr="00B778D5" w:rsidRDefault="00895222" w:rsidP="0089522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TimesNewRoman" w:hAnsi="Arial Narrow"/>
                <w:sz w:val="20"/>
                <w:szCs w:val="20"/>
                <w:lang w:val="bs-Cyrl-BA"/>
              </w:rPr>
            </w:pPr>
            <w:r w:rsidRPr="00B778D5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Припремити их и оспособити да у склопу тимског, као и самосталног рада, све повређене и оболеле посматра и збрињава на најсавременији начин примењујући стечено знање, како би што боље физички и функционално оспособили за рад и што превратили на посао;</w:t>
            </w:r>
          </w:p>
          <w:p w:rsidR="00895222" w:rsidRPr="00B778D5" w:rsidRDefault="00895222" w:rsidP="0089522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B778D5">
              <w:rPr>
                <w:rFonts w:ascii="Arial Narrow" w:eastAsia="TimesNewRoman" w:hAnsi="Arial Narrow"/>
                <w:sz w:val="20"/>
                <w:szCs w:val="20"/>
                <w:lang w:val="bs-Cyrl-BA"/>
              </w:rPr>
              <w:t>Оспособити их за рад у здравственим установама различитог ранга, те за рад у ванредним условима.</w:t>
            </w:r>
          </w:p>
        </w:tc>
      </w:tr>
      <w:tr w:rsidR="00895222" w:rsidRPr="00B778D5" w:rsidTr="003241DA"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895222" w:rsidRPr="00B778D5" w:rsidTr="003241DA"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и,</w:t>
            </w:r>
            <w:r w:rsidRPr="00B778D5">
              <w:rPr>
                <w:rFonts w:ascii="Arial Narrow" w:hAnsi="Arial Narrow"/>
                <w:sz w:val="20"/>
                <w:szCs w:val="20"/>
                <w:lang w:val="sr-Latn-CS"/>
              </w:rPr>
              <w:t>п</w:t>
            </w:r>
            <w:r w:rsidRPr="00B778D5">
              <w:rPr>
                <w:rFonts w:ascii="Arial Narrow" w:hAnsi="Arial Narrow"/>
                <w:sz w:val="20"/>
                <w:szCs w:val="20"/>
                <w:lang w:val="ru-RU"/>
              </w:rPr>
              <w:t>рактични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</w:tr>
      <w:tr w:rsidR="00895222" w:rsidRPr="00B778D5" w:rsidTr="003241DA"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0" w:type="auto"/>
            <w:gridSpan w:val="7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tabs>
                <w:tab w:val="center" w:pos="4513"/>
                <w:tab w:val="right" w:pos="902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895222" w:rsidRPr="00B778D5" w:rsidRDefault="00895222" w:rsidP="00895222">
            <w:pPr>
              <w:tabs>
                <w:tab w:val="center" w:pos="4513"/>
                <w:tab w:val="right" w:pos="9026"/>
              </w:tabs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tbl>
            <w:tblPr>
              <w:tblpPr w:leftFromText="180" w:rightFromText="180" w:vertAnchor="text" w:horzAnchor="margin" w:tblpXSpec="center" w:tblpY="-521"/>
              <w:tblW w:w="5000" w:type="pct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3"/>
              <w:gridCol w:w="7263"/>
              <w:gridCol w:w="717"/>
            </w:tblGrid>
            <w:tr w:rsidR="00895222" w:rsidRPr="00B778D5" w:rsidTr="00895222">
              <w:trPr>
                <w:trHeight w:val="762"/>
                <w:tblHeader/>
                <w:tblCellSpacing w:w="15" w:type="dxa"/>
              </w:trPr>
              <w:tc>
                <w:tcPr>
                  <w:tcW w:w="4963" w:type="pct"/>
                  <w:gridSpan w:val="3"/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bs-Cyrl-BA"/>
                    </w:rPr>
                    <w:t>Програм теоријске наставе</w:t>
                  </w:r>
                </w:p>
              </w:tc>
            </w:tr>
            <w:tr w:rsidR="00895222" w:rsidRPr="00B778D5" w:rsidTr="00895222">
              <w:trPr>
                <w:trHeight w:val="20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1.</w:t>
                  </w:r>
                </w:p>
              </w:tc>
              <w:tc>
                <w:tcPr>
                  <w:tcW w:w="4308" w:type="pct"/>
                  <w:tcBorders>
                    <w:top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УВОДНА ПРЕДАВАЊА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Анамнеза.Физикални преглед болесника. Лабораторијске методе. Тумачење лабораторијских налаза.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Ендоскопске методе  у хирургији. ЕХО.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Радиодијагностика. Сестринске дијагнозе.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Доц. др Ненад Лаловић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                                         </w:t>
                  </w:r>
                </w:p>
              </w:tc>
              <w:tc>
                <w:tcPr>
                  <w:tcW w:w="363" w:type="pct"/>
                  <w:tcBorders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0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lastRenderedPageBreak/>
                    <w:t>2</w:t>
                  </w:r>
                </w:p>
              </w:tc>
              <w:tc>
                <w:tcPr>
                  <w:tcW w:w="4308" w:type="pct"/>
                  <w:tcBorders>
                    <w:top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МЕТОДЕ ХИРУРШКЕ  ПРОФИЛАКСЕ И ХИРУРШКЕ ИНФЕКЦИЈЕ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Значај и суштина методе асепсе и антисепсе. Приручне методе стерилизације. Стандардне методе стерилизације. Брзе методе стерилизације. Савремене технолошке методе стерилизације. Понашање у операционој сали. Подјела, препознавање, превенција и терапија. Хируршка инфекција и сепса.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Анаеробне инфекције. Гасна гангрена.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Флегмона.  Антибиотици у хирургији.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др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Вјеран Саратлић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</w:p>
              </w:tc>
              <w:tc>
                <w:tcPr>
                  <w:tcW w:w="363" w:type="pct"/>
                  <w:tcBorders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55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3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КАРДИОПУЛМОНАЛАНА РЕАНИМАЦИЈА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Општи појмови и дефиниција. Кардиопулмонална и церабрална реанимација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>,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основни  ниво и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>II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степен реанимације.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ШОК, КРВАРЕЊЕ И ТРАНСФУЗИЈА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Историјат и значај појма.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Патофизиологија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,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подјела, клиничка слика. Основне смјернице у терапији. Шок и сепса. Компоненте и деривати крви 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Индикације и контраиндикације трансфузије. Поступак  при трансфузији. Узроци, дијагностика и терапија крварења. Методе хемостазе: привремене и трајне. Методе хемостазе: провизоме и стандардне.   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Проф.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>др Миливоје Достић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21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4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ПРЕОПЕРАТИВНА ПРИПРЕМА  И  ПОСТОПЕРАТИВНО  ЛИЈЕЧЕЊЕ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Преоперативна процјена. Преоперативна припрема. АСА скор. Методе предикције исхода операције. Интраоперативно лијечење. Постоперативни ток. Постоперативна терапија.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Постоперативне компликације. 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АНЕСТЕЗИЈА И АНАЛГЕЗИЈА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Појмови, историјат анестезије. Врсте опште анестезије. Општа инхалациона, интравенска анестезија. Интраоперативни мониторинг. Локална и регионална анестезија. Бол, дефиниција. Лијечење бола уопште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Проф. др Сања Марић                             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5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5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АБДОМИНАЛНА ХИРУРГИЈА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повреда једњака, желуца, танког и дебелог цријева. Сестринске процедуре код обољења наведених органа.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Вељко Марић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5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6.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АБДОМИНАЛНА ХИРУРГИЈА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повреда јетре, жучне кесе, жучних путева, панкреаса и слезине. Сестринске процедуре код обољења наведених органа.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Проф.др Вељко Марић 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708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7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ОРТОПЕДИЈА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Симптоматологија, дијагностика и хируршка терапија обољења локомоторног апарата.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 др Максим Ковачевић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537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lastRenderedPageBreak/>
                    <w:t>8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КАРДИОВАСКУЛАРНА ХИРУРГИЈА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терапија обољења и повреда крвних и лимфних судова и срца. Екстракорпорални крвоток.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Радмил Марић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2</w:t>
                  </w: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</w:tc>
            </w:tr>
            <w:tr w:rsidR="00895222" w:rsidRPr="00B778D5" w:rsidTr="00895222">
              <w:trPr>
                <w:trHeight w:val="20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9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left" w:pos="5217"/>
                    </w:tabs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BA"/>
                    </w:rPr>
                    <w:t>НЕУРОХИРУРГИЈА</w:t>
                  </w:r>
                </w:p>
                <w:p w:rsidR="00895222" w:rsidRPr="00B778D5" w:rsidRDefault="00895222" w:rsidP="00895222">
                  <w:pPr>
                    <w:tabs>
                      <w:tab w:val="left" w:pos="5217"/>
                    </w:tabs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left" w:pos="5217"/>
                    </w:tabs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повреда ЦНС и ПНС – а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BA"/>
                    </w:rPr>
                    <w:br/>
                    <w:t xml:space="preserve">  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Вјеран Саратлић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0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10.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left" w:pos="5217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ПЛАСТИЧНА ХИРУРГИЈА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left" w:pos="5217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left" w:pos="5217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повреда коже, принципи реконструктивне и естетске хирургије.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left" w:pos="5217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left" w:pos="5217"/>
                      <w:tab w:val="right" w:pos="9026"/>
                    </w:tabs>
                    <w:spacing w:after="24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Синиша Којић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153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11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  <w:t>УРОЛОГИЈА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Симптоматологија, дијагностика и хируршка терапија обољења и повреда генито – уринарног тракта.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240" w:line="240" w:lineRule="auto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bs-Cyrl-BA"/>
                    </w:rPr>
                    <w:t xml:space="preserve">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  <w:t xml:space="preserve"> Проф.др Владимир Банчевић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170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ГРУДНА ХИРУРГИЈА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Симптоматологија, дијагностика и хируршка терапија обољења и повреда грудног коша и плућа.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24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Доц  др Милорад Бијеловић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gridAfter w:val="2"/>
                <w:wAfter w:w="4689" w:type="pct"/>
                <w:trHeight w:val="221"/>
                <w:tblHeader/>
                <w:tblCellSpacing w:w="15" w:type="dxa"/>
              </w:trPr>
              <w:tc>
                <w:tcPr>
                  <w:tcW w:w="255" w:type="pct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</w:tr>
            <w:tr w:rsidR="00895222" w:rsidRPr="00B778D5" w:rsidTr="00895222">
              <w:trPr>
                <w:trHeight w:val="204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3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ОНКОЛОШКА ХИРРУГИЈА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Етиопатогенеза, класификација и одредјиванје стадијума малигних болести; могућности, принципи и модалитети лијечења у онколошкој хирургији; принципи превенције малигних болести.</w:t>
                  </w:r>
                </w:p>
                <w:p w:rsidR="00895222" w:rsidRPr="00B778D5" w:rsidRDefault="00895222" w:rsidP="00895222">
                  <w:pPr>
                    <w:tabs>
                      <w:tab w:val="left" w:pos="5258"/>
                    </w:tabs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>роф др Зоран Радовановић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187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4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 ДЈЕЧИЈА ХИРУРГИЈА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Специфичности хирургије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развојног доба; симптоматологија и дијагностика обољења и повреда у периоду дјетињства.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 др Радојица Јокић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156"/>
                <w:tblHeader/>
                <w:tblCellSpacing w:w="15" w:type="dxa"/>
              </w:trPr>
              <w:tc>
                <w:tcPr>
                  <w:tcW w:w="255" w:type="pct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5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  <w:t xml:space="preserve"> ТРАУМАТОЛОГИЈА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bs-Cyrl-BA"/>
                    </w:rPr>
                  </w:pP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Симптоматологија, дијагностика и хируршка терапија повреда локомоторног апарата.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Специфични услови хируршког рада у условима мас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вних несрећа и ванредних околности.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Збрињавање повријеђених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Тријажа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, е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вакуација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, е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тапно лијечење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рањеника.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Оп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с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ег и обим помоћи по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етапама.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Медицинска документација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.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Одлике масовног  повређивања и врсте повреда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.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Никола Гаврић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749"/>
                <w:tblHeader/>
                <w:tblCellSpacing w:w="15" w:type="dxa"/>
              </w:trPr>
              <w:tc>
                <w:tcPr>
                  <w:tcW w:w="4963" w:type="pct"/>
                  <w:gridSpan w:val="3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Програм практичне наставе</w:t>
                  </w:r>
                </w:p>
              </w:tc>
            </w:tr>
            <w:tr w:rsidR="00895222" w:rsidRPr="00B778D5" w:rsidTr="00895222">
              <w:trPr>
                <w:trHeight w:val="192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lastRenderedPageBreak/>
                    <w:t>1.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Уводне вјежбе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: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анамнеза и статус болесника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>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Асист.др Далибор Потпара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51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Сестринска анамнеза и преглед пацијента.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85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2.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R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BA"/>
                    </w:rPr>
                    <w:t>Упознавање са методама стерилизације, рад са дезинфекционим средствима. Упознавање  са операционом салом и радом у операционој сали (показне вјежбе уз приказе случајева).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 </w:t>
                  </w:r>
                </w:p>
                <w:p w:rsidR="00895222" w:rsidRPr="00B778D5" w:rsidRDefault="00895222" w:rsidP="00895222">
                  <w:pPr>
                    <w:spacing w:after="24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Проф.др Вељко Марић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88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Сестринске процедуре и поступци са стерилизацијом и дезинфекцијом. Принципи рада у операционој сали.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sr-Cyrl-CS"/>
                    </w:rPr>
                    <w:t>(Семинарски рад)</w:t>
                  </w:r>
                </w:p>
                <w:p w:rsidR="00895222" w:rsidRPr="00B778D5" w:rsidRDefault="00895222" w:rsidP="00895222">
                  <w:pPr>
                    <w:spacing w:after="24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Вељко Марић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402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3.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Мјере кардиопулмоналне реанимације.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Миливоје Достић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71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Сестринске процедуре код кардиопулмоналне реанимације.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(Сестринске процедуре)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Миливоје Достић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38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Latn-BA"/>
                    </w:rPr>
                    <w:t>4.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Преоперативна припрема и постоперативно лијечење пацијената (клинички прикази случајева, основни приципи рада у ЈИТ).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Сања Марић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    2</w:t>
                  </w:r>
                </w:p>
              </w:tc>
            </w:tr>
            <w:tr w:rsidR="00895222" w:rsidRPr="00B778D5" w:rsidTr="00895222">
              <w:trPr>
                <w:trHeight w:val="335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Поступак са пацијентом у преоперативном и постоперативном току.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   2</w:t>
                  </w:r>
                </w:p>
              </w:tc>
            </w:tr>
            <w:tr w:rsidR="00895222" w:rsidRPr="00B778D5" w:rsidTr="00895222">
              <w:trPr>
                <w:trHeight w:val="301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i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i/>
                      <w:sz w:val="20"/>
                      <w:szCs w:val="20"/>
                      <w:lang w:val="sr-Latn-BA"/>
                    </w:rPr>
                    <w:t>5.</w:t>
                  </w:r>
                </w:p>
              </w:tc>
              <w:tc>
                <w:tcPr>
                  <w:tcW w:w="4308" w:type="pct"/>
                  <w:tcBorders>
                    <w:top w:val="single" w:sz="2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Крварење и хемостаза. Шок- превенција и терапија.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Асист.др Вања Старовић</w:t>
                  </w:r>
                </w:p>
              </w:tc>
              <w:tc>
                <w:tcPr>
                  <w:tcW w:w="363" w:type="pct"/>
                  <w:tcBorders>
                    <w:top w:val="single" w:sz="2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142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FFFFFF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i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FFFFFF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Сестринске процедуре код пацијената са крварењем и шоком. (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Семинарски рад)</w:t>
                  </w:r>
                </w:p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Сања Марић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17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6.</w:t>
                  </w:r>
                </w:p>
              </w:tc>
              <w:tc>
                <w:tcPr>
                  <w:tcW w:w="4308" w:type="pct"/>
                  <w:tcBorders>
                    <w:top w:val="single" w:sz="2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Клиничка обрада пацијента са пнеумоперитонеумом. Препознавање и диференцирање водећих знакова перитонеалног надражаја.</w:t>
                  </w:r>
                </w:p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Клинички преглед препонског канала. Значај кличког прегледа у дијагностици препонских кила и кила предњег трбушног зида (клинички приказ случајева). Мануелна репозиција хернија – таксис.</w:t>
                  </w:r>
                </w:p>
                <w:p w:rsidR="00895222" w:rsidRPr="00B778D5" w:rsidRDefault="00895222" w:rsidP="00895222">
                  <w:pPr>
                    <w:spacing w:after="24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Асист. др Раде Милетић</w:t>
                  </w:r>
                </w:p>
              </w:tc>
              <w:tc>
                <w:tcPr>
                  <w:tcW w:w="363" w:type="pct"/>
                  <w:tcBorders>
                    <w:top w:val="single" w:sz="2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26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Сестринске процедуре код пацијената са обољењима дигестивног система.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spacing w:after="24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175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lastRenderedPageBreak/>
                    <w:t>7.</w:t>
                  </w:r>
                </w:p>
              </w:tc>
              <w:tc>
                <w:tcPr>
                  <w:tcW w:w="4308" w:type="pct"/>
                  <w:tcBorders>
                    <w:top w:val="single" w:sz="2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Дијагностика ортопедских обољења. Принципи и методе лијечења у ортопедији. Преглед и дијагностика повреда горњих, доњих екстремитета екстремитета, карлице и кичменог стуба. Завоји, транспортна и гипсана имобилизација.Транспортна имобилизација повреде кичменог стуба. Повреде вратне кичме. Повреде тораколумбалне кичме.  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Проф.др Максим Ковачевић</w:t>
                  </w:r>
                </w:p>
              </w:tc>
              <w:tc>
                <w:tcPr>
                  <w:tcW w:w="363" w:type="pct"/>
                  <w:tcBorders>
                    <w:top w:val="single" w:sz="2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68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Сестринске процедуре и поступци код пацијената са повредама горнјих и доњих екстремитета, карлице  и кичменог стуба.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Максим Ковачевић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402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8.</w:t>
                  </w:r>
                </w:p>
              </w:tc>
              <w:tc>
                <w:tcPr>
                  <w:tcW w:w="4308" w:type="pct"/>
                  <w:tcBorders>
                    <w:top w:val="single" w:sz="4" w:space="0" w:color="FFFFFF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Основе клиничког прегледа васкуларног пацијента. Специфичности анамнезе и физикалног налаза. Методе привремене хемостазе: дигитална компресија, завој, тампонада ране, Есмархова повеска (клинички приказ пацијената). Анамнеза и клинички преглед болесника са тромбофлебитисом и флеботромбозом. Основе третмана венског улкуса. Постављање еластичне бандаже. 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 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Виши Асист. др Далибор Потпара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85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Сестринске процедуре и поступци код пацијената са обољењима артеријског и венског система.    Сестринске процедуре код третмана улкуса екстремитета.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88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9.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Краниоцеребралне повреде.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Клинички приказ случајева са контузијом главе и потресом мозга. Дијагностички и терапијски алгоритам. Клинички приказ пацијената са цервикалном и лумбалном радикулопатијом.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Прф.др Вјеран Саратлић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85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FFFFFF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Сестринске процедуре код пацијената са повредама централног и периферног нервног система.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sr-Cyrl-CS"/>
                    </w:rPr>
                    <w:t>(Семинарски рад)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Вјеран Саратлић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17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10.</w:t>
                  </w:r>
                </w:p>
              </w:tc>
              <w:tc>
                <w:tcPr>
                  <w:tcW w:w="4308" w:type="pct"/>
                  <w:tcBorders>
                    <w:top w:val="single" w:sz="2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>Опекотине. Одређивање дубине (степена) опекотине. Одређивање површине опекотине (правило деветке и правило длана). Припрема за транспорт. Израчунавање потребне течности за надокнаду и распоред давања. Декубитус. (приказ клиничких случајева)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color w:val="000000"/>
                      <w:sz w:val="20"/>
                      <w:szCs w:val="20"/>
                      <w:u w:val="single"/>
                      <w:lang w:val="sr-Cyrl-CS"/>
                    </w:rPr>
                    <w:t>Виши Асист. др Хелена Марић К.</w:t>
                  </w:r>
                </w:p>
              </w:tc>
              <w:tc>
                <w:tcPr>
                  <w:tcW w:w="363" w:type="pct"/>
                  <w:tcBorders>
                    <w:top w:val="single" w:sz="2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26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>Сестринске процедуре код пацијената са опекотинама и декубитусом.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88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11</w:t>
                  </w:r>
                </w:p>
              </w:tc>
              <w:tc>
                <w:tcPr>
                  <w:tcW w:w="4308" w:type="pct"/>
                  <w:tcBorders>
                    <w:top w:val="single" w:sz="4" w:space="0" w:color="FFFFFF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Уролошка анамнеза и преглед. Дигиторектални туше. Упознавање са уролошким дијагностичким процедурама: ултразвук, трансректални ултразвук, биопсија простате. Пласирање уринарног катетера.  Пласирање цистостомског катетера. Њега пацијента са  уринарним катетером и перкутаним нефростомским катетером.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Др Зоран Шаренац, клин. сарад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85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>Сестринске процедуре код пацијената са  обољењима урогениталног система. Поступци приликом пласирања уринарног катетера.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51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12.</w:t>
                  </w: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BA"/>
                    </w:rPr>
                    <w:t xml:space="preserve"> Анамнеза,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ru-RU"/>
                    </w:rPr>
                    <w:t xml:space="preserve">физикални преглед пацијената са обољењем грудног коша. Тумачење радиографских и МСЦТ налаза грудног коша. Упознавање са током преоперативног испитивања и постоперативним опоравком и лијечењем торакохируршких пацијената.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BA"/>
                    </w:rPr>
                    <w:t>Клинички приказ пацијената са пнеумотораксом. Поступак са торакалном дренажом.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  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Асист. др Велибор Симетић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22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>Сестринскед процедуре код пацијената са обољењима и повредама грудног коша. Поступак са торакалном дренажом.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35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13.</w:t>
                  </w:r>
                </w:p>
              </w:tc>
              <w:tc>
                <w:tcPr>
                  <w:tcW w:w="4308" w:type="pct"/>
                  <w:tcBorders>
                    <w:top w:val="single" w:sz="2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eastAsia="Calibri" w:hAnsi="Arial Narrow"/>
                      <w:bCs/>
                      <w:sz w:val="20"/>
                      <w:szCs w:val="20"/>
                      <w:lang w:val="sr-Cyrl-CS"/>
                    </w:rPr>
                    <w:t xml:space="preserve"> Основи клиничког прегледа  и специфичности анамнезе код болесника са раком дојке и избор дијагностичких процедура (мамографија, ЕХО, биопсија). Значај примарне контр</w:t>
                  </w:r>
                  <w:r w:rsidRPr="00B778D5">
                    <w:rPr>
                      <w:rFonts w:ascii="Arial Narrow" w:hAnsi="Arial Narrow"/>
                      <w:bCs/>
                      <w:sz w:val="20"/>
                      <w:szCs w:val="20"/>
                      <w:lang w:val="sr-Cyrl-CS"/>
                    </w:rPr>
                    <w:t xml:space="preserve">оле  и скрининга за рак дојке. </w:t>
                  </w:r>
                </w:p>
                <w:p w:rsidR="00895222" w:rsidRPr="00B778D5" w:rsidRDefault="00895222" w:rsidP="00895222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Доц. др Ненад Лаловић </w:t>
                  </w:r>
                </w:p>
              </w:tc>
              <w:tc>
                <w:tcPr>
                  <w:tcW w:w="363" w:type="pct"/>
                  <w:tcBorders>
                    <w:top w:val="single" w:sz="24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38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Сестринске процедуре и поступци код онколошких пацијената.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(Семинарски рад)</w:t>
                  </w:r>
                </w:p>
                <w:p w:rsidR="00895222" w:rsidRPr="00B778D5" w:rsidRDefault="00895222" w:rsidP="00895222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Доц. др Ненад Лаловић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603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14.</w:t>
                  </w:r>
                </w:p>
              </w:tc>
              <w:tc>
                <w:tcPr>
                  <w:tcW w:w="4308" w:type="pct"/>
                  <w:tcBorders>
                    <w:top w:val="single" w:sz="4" w:space="0" w:color="FFFFFF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ru-RU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Анамнеза и  физикални преглед дјетета. Хитна стања у дјечијој хирургији – дијагноза и мјере збрињавања (хитна хируршка амбуланта). 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ru-RU"/>
                    </w:rPr>
                    <w:t>Превијање рана, збрињавање опекотина, скидање конаца.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ru-RU"/>
                    </w:rPr>
                    <w:t xml:space="preserve">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ru-RU"/>
                    </w:rPr>
                    <w:t xml:space="preserve">Проф. др Вељко Марић 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01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>Сецтринске процедуре и поступци у лијечењу обољења у дјечијем узрасту.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385"/>
                <w:tblHeader/>
                <w:tblCellSpacing w:w="15" w:type="dxa"/>
              </w:trPr>
              <w:tc>
                <w:tcPr>
                  <w:tcW w:w="255" w:type="pct"/>
                  <w:vMerge w:val="restart"/>
                  <w:tcBorders>
                    <w:top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15.</w:t>
                  </w:r>
                </w:p>
              </w:tc>
              <w:tc>
                <w:tcPr>
                  <w:tcW w:w="4308" w:type="pct"/>
                  <w:tcBorders>
                    <w:top w:val="single" w:sz="4" w:space="0" w:color="FFFFFF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Тријажа пацијената и збињавање повријеђених у масовним несрећама.</w:t>
                  </w:r>
                </w:p>
                <w:p w:rsidR="00895222" w:rsidRPr="00B778D5" w:rsidRDefault="00895222" w:rsidP="00895222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</w:t>
                  </w:r>
                  <w:r w:rsidRPr="00B778D5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Виши Асист. др Ђорђе Вељовић</w:t>
                  </w:r>
                </w:p>
              </w:tc>
              <w:tc>
                <w:tcPr>
                  <w:tcW w:w="363" w:type="pct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895222" w:rsidRPr="00B778D5" w:rsidTr="00895222">
              <w:trPr>
                <w:trHeight w:val="288"/>
                <w:tblHeader/>
                <w:tblCellSpacing w:w="15" w:type="dxa"/>
              </w:trPr>
              <w:tc>
                <w:tcPr>
                  <w:tcW w:w="255" w:type="pct"/>
                  <w:vMerge/>
                  <w:tcBorders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</w:p>
              </w:tc>
              <w:tc>
                <w:tcPr>
                  <w:tcW w:w="4308" w:type="pct"/>
                  <w:tcBorders>
                    <w:top w:val="single" w:sz="4" w:space="0" w:color="auto"/>
                    <w:left w:val="single" w:sz="4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Сестринске процедуре приликом збрињавања политрауматизованих пацијената.</w:t>
                  </w:r>
                </w:p>
                <w:p w:rsidR="00895222" w:rsidRPr="00B778D5" w:rsidRDefault="00895222" w:rsidP="00895222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</w:pP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</w:t>
                  </w:r>
                  <w:r w:rsidRPr="00B778D5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CS"/>
                    </w:rPr>
                    <w:t>Клин.сарадник Наташа Радовић</w:t>
                  </w:r>
                  <w:r w:rsidRPr="00B778D5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 </w:t>
                  </w:r>
                </w:p>
              </w:tc>
              <w:tc>
                <w:tcPr>
                  <w:tcW w:w="363" w:type="pct"/>
                  <w:tcBorders>
                    <w:top w:val="single" w:sz="4" w:space="0" w:color="auto"/>
                    <w:left w:val="single" w:sz="6" w:space="0" w:color="000000"/>
                    <w:bottom w:val="single" w:sz="24" w:space="0" w:color="auto"/>
                  </w:tcBorders>
                  <w:shd w:val="clear" w:color="auto" w:fill="FFFFFF"/>
                  <w:vAlign w:val="center"/>
                </w:tcPr>
                <w:p w:rsidR="00895222" w:rsidRPr="00B778D5" w:rsidRDefault="00895222" w:rsidP="0089522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B778D5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895222" w:rsidRPr="00B778D5" w:rsidRDefault="00895222" w:rsidP="00895222">
            <w:pPr>
              <w:tabs>
                <w:tab w:val="center" w:pos="4153"/>
                <w:tab w:val="center" w:pos="4513"/>
                <w:tab w:val="right" w:pos="8306"/>
                <w:tab w:val="right" w:pos="9026"/>
              </w:tabs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895222" w:rsidRPr="00B778D5" w:rsidRDefault="00895222" w:rsidP="00895222">
            <w:pPr>
              <w:tabs>
                <w:tab w:val="center" w:pos="4153"/>
                <w:tab w:val="center" w:pos="4513"/>
                <w:tab w:val="right" w:pos="8306"/>
                <w:tab w:val="right" w:pos="9026"/>
              </w:tabs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</w:tc>
      </w:tr>
      <w:tr w:rsidR="00895222" w:rsidRPr="00B778D5" w:rsidTr="00895222">
        <w:tc>
          <w:tcPr>
            <w:tcW w:w="1013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95222" w:rsidRPr="00B778D5" w:rsidTr="003241DA">
        <w:tc>
          <w:tcPr>
            <w:tcW w:w="3868" w:type="dxa"/>
            <w:gridSpan w:val="2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0" w:type="auto"/>
            <w:gridSpan w:val="4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95222" w:rsidRPr="00B778D5" w:rsidTr="003241DA">
        <w:tc>
          <w:tcPr>
            <w:tcW w:w="3868" w:type="dxa"/>
            <w:gridSpan w:val="2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/>
                <w:sz w:val="20"/>
                <w:szCs w:val="20"/>
                <w:lang w:val="sr-Cyrl-BA"/>
              </w:rPr>
              <w:t>Вишњић</w:t>
            </w:r>
            <w:r w:rsidRPr="00B778D5">
              <w:rPr>
                <w:rFonts w:ascii="Arial Narrow" w:hAnsi="Arial Narrow"/>
                <w:sz w:val="20"/>
                <w:szCs w:val="20"/>
              </w:rPr>
              <w:t xml:space="preserve"> M.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895222" w:rsidRPr="00B778D5" w:rsidRDefault="00895222" w:rsidP="008952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Cyrl-RS"/>
              </w:rPr>
            </w:pPr>
            <w:r w:rsidRPr="00B778D5">
              <w:rPr>
                <w:rFonts w:ascii="Arial Narrow" w:hAnsi="Arial Narrow"/>
                <w:sz w:val="20"/>
                <w:szCs w:val="20"/>
              </w:rPr>
              <w:t>Хирургија. Ниш: Медиана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5222" w:rsidRPr="00B778D5" w:rsidTr="00895222">
        <w:tc>
          <w:tcPr>
            <w:tcW w:w="10137" w:type="dxa"/>
            <w:gridSpan w:val="8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95222" w:rsidRPr="00B778D5" w:rsidTr="003241DA">
        <w:tc>
          <w:tcPr>
            <w:tcW w:w="3868" w:type="dxa"/>
            <w:gridSpan w:val="2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0" w:type="auto"/>
            <w:gridSpan w:val="4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95222" w:rsidRPr="00B778D5" w:rsidTr="003241DA">
        <w:tc>
          <w:tcPr>
            <w:tcW w:w="3868" w:type="dxa"/>
            <w:gridSpan w:val="2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5222" w:rsidRPr="00B778D5" w:rsidTr="003241DA">
        <w:tc>
          <w:tcPr>
            <w:tcW w:w="3868" w:type="dxa"/>
            <w:gridSpan w:val="2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5222" w:rsidRPr="00B778D5" w:rsidTr="003241DA">
        <w:trPr>
          <w:trHeight w:val="83"/>
        </w:trPr>
        <w:tc>
          <w:tcPr>
            <w:tcW w:w="1610" w:type="dxa"/>
            <w:vMerge w:val="restart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95222" w:rsidRPr="00B778D5" w:rsidTr="003241DA">
        <w:trPr>
          <w:trHeight w:val="67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95222" w:rsidRPr="00B778D5" w:rsidTr="003241DA">
        <w:trPr>
          <w:trHeight w:val="67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vAlign w:val="center"/>
          </w:tcPr>
          <w:p w:rsidR="00895222" w:rsidRPr="00B778D5" w:rsidRDefault="00895222" w:rsidP="0089522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895222" w:rsidRPr="00B778D5" w:rsidTr="003241DA">
        <w:trPr>
          <w:trHeight w:val="126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vAlign w:val="center"/>
          </w:tcPr>
          <w:p w:rsidR="00895222" w:rsidRPr="00B778D5" w:rsidRDefault="00895222" w:rsidP="0089522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895222" w:rsidRPr="00B778D5" w:rsidTr="003241DA">
        <w:trPr>
          <w:trHeight w:val="92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vAlign w:val="center"/>
          </w:tcPr>
          <w:p w:rsidR="00895222" w:rsidRPr="00B778D5" w:rsidRDefault="00895222" w:rsidP="0089522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95222" w:rsidRPr="00B778D5" w:rsidTr="003241DA">
        <w:trPr>
          <w:trHeight w:val="230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vAlign w:val="center"/>
          </w:tcPr>
          <w:p w:rsidR="00895222" w:rsidRPr="00B778D5" w:rsidRDefault="00895222" w:rsidP="0089522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%</w:t>
            </w:r>
          </w:p>
        </w:tc>
      </w:tr>
      <w:tr w:rsidR="00895222" w:rsidRPr="00B778D5" w:rsidTr="003241DA">
        <w:trPr>
          <w:trHeight w:val="67"/>
        </w:trPr>
        <w:tc>
          <w:tcPr>
            <w:tcW w:w="1610" w:type="dxa"/>
            <w:vMerge w:val="restart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7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95222" w:rsidRPr="00B778D5" w:rsidTr="003241DA">
        <w:trPr>
          <w:trHeight w:val="92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vAlign w:val="center"/>
          </w:tcPr>
          <w:p w:rsidR="00895222" w:rsidRPr="00B778D5" w:rsidRDefault="00895222" w:rsidP="0089522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95222" w:rsidRPr="00B778D5" w:rsidTr="003241DA">
        <w:trPr>
          <w:trHeight w:val="127"/>
        </w:trPr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vAlign w:val="center"/>
          </w:tcPr>
          <w:p w:rsidR="00895222" w:rsidRPr="00B778D5" w:rsidRDefault="00895222" w:rsidP="0089522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0" w:type="auto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895222" w:rsidRPr="00B778D5" w:rsidTr="003241DA">
        <w:trPr>
          <w:trHeight w:val="67"/>
        </w:trPr>
        <w:tc>
          <w:tcPr>
            <w:tcW w:w="161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95222" w:rsidRPr="00895222" w:rsidTr="003241DA">
        <w:trPr>
          <w:trHeight w:val="272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895222" w:rsidRPr="00B778D5" w:rsidRDefault="00895222" w:rsidP="0089522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0" w:type="auto"/>
            <w:gridSpan w:val="7"/>
            <w:vAlign w:val="center"/>
          </w:tcPr>
          <w:p w:rsidR="00895222" w:rsidRPr="00895222" w:rsidRDefault="00895222" w:rsidP="008952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8D5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B778D5">
              <w:rPr>
                <w:rFonts w:ascii="Arial Narrow" w:hAnsi="Arial Narrow" w:cs="Times New Roman"/>
                <w:sz w:val="20"/>
                <w:szCs w:val="20"/>
              </w:rPr>
              <w:t xml:space="preserve">.09.2020. </w:t>
            </w:r>
            <w:r w:rsidRPr="00B778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год.</w:t>
            </w:r>
          </w:p>
        </w:tc>
      </w:tr>
    </w:tbl>
    <w:p w:rsidR="00B36B65" w:rsidRPr="00A80FB9" w:rsidRDefault="00B36B65" w:rsidP="00A80FB9">
      <w:pPr>
        <w:rPr>
          <w:lang w:val="sr-Cyrl-RS"/>
        </w:rPr>
      </w:pPr>
    </w:p>
    <w:sectPr w:rsidR="00B36B65" w:rsidRPr="00A80FB9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642" w:rsidRDefault="00BE3642" w:rsidP="00662C2A">
      <w:pPr>
        <w:spacing w:after="0" w:line="240" w:lineRule="auto"/>
      </w:pPr>
      <w:r>
        <w:separator/>
      </w:r>
    </w:p>
  </w:endnote>
  <w:endnote w:type="continuationSeparator" w:id="0">
    <w:p w:rsidR="00BE3642" w:rsidRDefault="00BE364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222" w:rsidRDefault="00895222">
    <w:pPr>
      <w:pStyle w:val="Footer"/>
      <w:jc w:val="right"/>
    </w:pPr>
  </w:p>
  <w:p w:rsidR="00895222" w:rsidRDefault="008952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642" w:rsidRDefault="00BE3642" w:rsidP="00662C2A">
      <w:pPr>
        <w:spacing w:after="0" w:line="240" w:lineRule="auto"/>
      </w:pPr>
      <w:r>
        <w:separator/>
      </w:r>
    </w:p>
  </w:footnote>
  <w:footnote w:type="continuationSeparator" w:id="0">
    <w:p w:rsidR="00BE3642" w:rsidRDefault="00BE3642" w:rsidP="00662C2A">
      <w:pPr>
        <w:spacing w:after="0" w:line="240" w:lineRule="auto"/>
      </w:pPr>
      <w:r>
        <w:continuationSeparator/>
      </w:r>
    </w:p>
  </w:footnote>
  <w:footnote w:id="1">
    <w:p w:rsidR="00895222" w:rsidRPr="00ED59F8" w:rsidRDefault="00895222" w:rsidP="0089522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895222" w:rsidRPr="00BB3616" w:rsidRDefault="00895222" w:rsidP="0089522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895222" w:rsidRPr="00564658" w:rsidRDefault="00895222" w:rsidP="0089522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F34EE"/>
    <w:multiLevelType w:val="hybridMultilevel"/>
    <w:tmpl w:val="8F2E3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22D06"/>
    <w:rsid w:val="00034B7C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37126"/>
    <w:rsid w:val="00142472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2F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241DA"/>
    <w:rsid w:val="00355B14"/>
    <w:rsid w:val="00364F7B"/>
    <w:rsid w:val="0037103D"/>
    <w:rsid w:val="00373475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1DC8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B46BA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56924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95222"/>
    <w:rsid w:val="008A5AAE"/>
    <w:rsid w:val="008C2294"/>
    <w:rsid w:val="008D203C"/>
    <w:rsid w:val="008D5263"/>
    <w:rsid w:val="008E6F9C"/>
    <w:rsid w:val="008F54FF"/>
    <w:rsid w:val="00900413"/>
    <w:rsid w:val="0092373E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B3AF3"/>
    <w:rsid w:val="009C12A9"/>
    <w:rsid w:val="009C3E68"/>
    <w:rsid w:val="009C6099"/>
    <w:rsid w:val="009F0C66"/>
    <w:rsid w:val="009F6FCB"/>
    <w:rsid w:val="00A05E6A"/>
    <w:rsid w:val="00A129B9"/>
    <w:rsid w:val="00A13762"/>
    <w:rsid w:val="00A14A65"/>
    <w:rsid w:val="00A255BB"/>
    <w:rsid w:val="00A44211"/>
    <w:rsid w:val="00A45AB1"/>
    <w:rsid w:val="00A62FD1"/>
    <w:rsid w:val="00A6669B"/>
    <w:rsid w:val="00A74A53"/>
    <w:rsid w:val="00A74EA1"/>
    <w:rsid w:val="00A80FB9"/>
    <w:rsid w:val="00A8544E"/>
    <w:rsid w:val="00A92206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778D5"/>
    <w:rsid w:val="00B91E28"/>
    <w:rsid w:val="00B93FA8"/>
    <w:rsid w:val="00B94753"/>
    <w:rsid w:val="00BB3616"/>
    <w:rsid w:val="00BD32B2"/>
    <w:rsid w:val="00BE02EF"/>
    <w:rsid w:val="00BE3642"/>
    <w:rsid w:val="00BE58D0"/>
    <w:rsid w:val="00BF7E09"/>
    <w:rsid w:val="00C00CCE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54302"/>
    <w:rsid w:val="00D77F45"/>
    <w:rsid w:val="00D86FF0"/>
    <w:rsid w:val="00D93B3E"/>
    <w:rsid w:val="00D97575"/>
    <w:rsid w:val="00DA0016"/>
    <w:rsid w:val="00DC452B"/>
    <w:rsid w:val="00DD289A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84D15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09B3"/>
    <w:rsid w:val="00F75EA2"/>
    <w:rsid w:val="00F829D2"/>
    <w:rsid w:val="00FA5B33"/>
    <w:rsid w:val="00FB3022"/>
    <w:rsid w:val="00FB6101"/>
    <w:rsid w:val="00FC0946"/>
    <w:rsid w:val="00FC12B0"/>
    <w:rsid w:val="00FD0D61"/>
    <w:rsid w:val="00FD4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895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95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B590853-94DB-47E3-95FB-6E4A9EF4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26</cp:revision>
  <cp:lastPrinted>2016-06-01T08:13:00Z</cp:lastPrinted>
  <dcterms:created xsi:type="dcterms:W3CDTF">2016-07-11T20:08:00Z</dcterms:created>
  <dcterms:modified xsi:type="dcterms:W3CDTF">2021-03-31T21:25:00Z</dcterms:modified>
</cp:coreProperties>
</file>