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"/>
        <w:tblW w:w="9386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1164"/>
        <w:gridCol w:w="713"/>
        <w:gridCol w:w="415"/>
        <w:gridCol w:w="191"/>
        <w:gridCol w:w="658"/>
        <w:gridCol w:w="706"/>
        <w:gridCol w:w="40"/>
        <w:gridCol w:w="665"/>
        <w:gridCol w:w="706"/>
        <w:gridCol w:w="847"/>
        <w:gridCol w:w="347"/>
        <w:gridCol w:w="358"/>
        <w:gridCol w:w="706"/>
        <w:gridCol w:w="346"/>
        <w:gridCol w:w="881"/>
      </w:tblGrid>
      <w:tr w:rsidR="000D717A" w:rsidRPr="000D717A" w:rsidTr="003C43C9">
        <w:trPr>
          <w:trHeight w:val="233"/>
          <w:tblHeader/>
          <w:tblCellSpacing w:w="15" w:type="dxa"/>
        </w:trPr>
        <w:tc>
          <w:tcPr>
            <w:tcW w:w="1762" w:type="dxa"/>
            <w:gridSpan w:val="2"/>
            <w:shd w:val="clear" w:color="auto" w:fill="FFFFFF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4" w:type="dxa"/>
            <w:gridSpan w:val="14"/>
            <w:shd w:val="clear" w:color="auto" w:fill="FFFFFF"/>
          </w:tcPr>
          <w:p w:rsidR="00B022AA" w:rsidRPr="000D717A" w:rsidRDefault="00B022AA" w:rsidP="003C43C9">
            <w:pPr>
              <w:rPr>
                <w:color w:val="000000" w:themeColor="text1"/>
                <w:sz w:val="32"/>
                <w:szCs w:val="32"/>
              </w:rPr>
            </w:pPr>
            <w:r w:rsidRPr="000D717A">
              <w:rPr>
                <w:color w:val="000000" w:themeColor="text1"/>
                <w:sz w:val="32"/>
                <w:szCs w:val="32"/>
              </w:rPr>
              <w:t xml:space="preserve">            КЛИНИЧКИ  БЛОК: ПЕДОДОНЦИЈА</w:t>
            </w:r>
          </w:p>
        </w:tc>
      </w:tr>
      <w:tr w:rsidR="000D717A" w:rsidRPr="000D717A" w:rsidTr="003C43C9">
        <w:trPr>
          <w:trHeight w:val="233"/>
          <w:tblHeader/>
          <w:tblCellSpacing w:w="15" w:type="dxa"/>
        </w:trPr>
        <w:tc>
          <w:tcPr>
            <w:tcW w:w="1762" w:type="dxa"/>
            <w:gridSpan w:val="2"/>
            <w:shd w:val="clear" w:color="auto" w:fill="FFFFFF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9" w:type="dxa"/>
            <w:gridSpan w:val="3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45" w:type="dxa"/>
            <w:gridSpan w:val="5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7" w:type="dxa"/>
            <w:shd w:val="clear" w:color="auto" w:fill="FFFFFF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593" w:type="dxa"/>
            <w:gridSpan w:val="5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Фонд часова</w:t>
            </w:r>
          </w:p>
        </w:tc>
      </w:tr>
      <w:tr w:rsidR="000D717A" w:rsidRPr="000D717A" w:rsidTr="003C43C9">
        <w:trPr>
          <w:trHeight w:val="119"/>
          <w:tblHeader/>
          <w:tblCellSpacing w:w="15" w:type="dxa"/>
        </w:trPr>
        <w:tc>
          <w:tcPr>
            <w:tcW w:w="1762" w:type="dxa"/>
            <w:gridSpan w:val="2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1289" w:type="dxa"/>
            <w:gridSpan w:val="3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334" w:type="dxa"/>
            <w:gridSpan w:val="2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bs-Latn-BA"/>
              </w:rPr>
              <w:t>XI</w:t>
            </w:r>
          </w:p>
        </w:tc>
        <w:tc>
          <w:tcPr>
            <w:tcW w:w="1381" w:type="dxa"/>
            <w:gridSpan w:val="3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bs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XII</w:t>
            </w:r>
          </w:p>
        </w:tc>
        <w:tc>
          <w:tcPr>
            <w:tcW w:w="817" w:type="dxa"/>
            <w:vMerge w:val="restart"/>
            <w:shd w:val="clear" w:color="auto" w:fill="FFFFFF"/>
            <w:vAlign w:val="center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182" w:type="dxa"/>
            <w:gridSpan w:val="2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</w:tr>
      <w:tr w:rsidR="000D717A" w:rsidRPr="000D717A" w:rsidTr="003C43C9">
        <w:trPr>
          <w:trHeight w:val="105"/>
          <w:tblHeader/>
          <w:tblCellSpacing w:w="15" w:type="dxa"/>
        </w:trPr>
        <w:tc>
          <w:tcPr>
            <w:tcW w:w="3081" w:type="dxa"/>
            <w:gridSpan w:val="5"/>
            <w:vMerge w:val="restart"/>
            <w:shd w:val="clear" w:color="auto" w:fill="D9D9D9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  <w:r w:rsidRPr="000D717A">
              <w:rPr>
                <w:b/>
                <w:color w:val="000000" w:themeColor="text1"/>
                <w:sz w:val="20"/>
                <w:szCs w:val="20"/>
                <w:lang w:val="bs-Latn-BA"/>
              </w:rPr>
              <w:t>: 2.6.6</w:t>
            </w:r>
          </w:p>
        </w:tc>
        <w:tc>
          <w:tcPr>
            <w:tcW w:w="628" w:type="dxa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817" w:type="dxa"/>
            <w:vMerge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675" w:type="dxa"/>
            <w:gridSpan w:val="2"/>
            <w:vMerge w:val="restart"/>
            <w:shd w:val="clear" w:color="auto" w:fill="FFFFFF"/>
            <w:vAlign w:val="center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676" w:type="dxa"/>
            <w:vMerge w:val="restart"/>
            <w:shd w:val="clear" w:color="auto" w:fill="FFFFFF"/>
            <w:vAlign w:val="center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182" w:type="dxa"/>
            <w:gridSpan w:val="2"/>
            <w:vMerge w:val="restart"/>
            <w:shd w:val="clear" w:color="auto" w:fill="FFFFFF"/>
            <w:vAlign w:val="center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            90</w:t>
            </w:r>
          </w:p>
        </w:tc>
      </w:tr>
      <w:tr w:rsidR="000D717A" w:rsidRPr="000D717A" w:rsidTr="003C43C9">
        <w:trPr>
          <w:trHeight w:val="120"/>
          <w:tblHeader/>
          <w:tblCellSpacing w:w="15" w:type="dxa"/>
        </w:trPr>
        <w:tc>
          <w:tcPr>
            <w:tcW w:w="3081" w:type="dxa"/>
            <w:gridSpan w:val="5"/>
            <w:vMerge/>
            <w:shd w:val="clear" w:color="auto" w:fill="D9D9D9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lang w:val="sr-Latn-BA"/>
              </w:rPr>
            </w:pPr>
          </w:p>
        </w:tc>
        <w:tc>
          <w:tcPr>
            <w:tcW w:w="628" w:type="dxa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6" w:type="dxa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bs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shd w:val="clear" w:color="auto" w:fill="auto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7" w:type="dxa"/>
            <w:vMerge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675" w:type="dxa"/>
            <w:gridSpan w:val="2"/>
            <w:vMerge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676" w:type="dxa"/>
            <w:vMerge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182" w:type="dxa"/>
            <w:gridSpan w:val="2"/>
            <w:vMerge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0D717A" w:rsidRPr="000D717A" w:rsidTr="003C43C9">
        <w:trPr>
          <w:trHeight w:val="233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B022AA" w:rsidRPr="000D717A" w:rsidRDefault="00B022AA" w:rsidP="00672643">
            <w:pPr>
              <w:rPr>
                <w:b/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Школска година у</w:t>
            </w:r>
            <w:r w:rsidR="003057C6"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којој се предмет реализује: 2020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/20</w:t>
            </w:r>
            <w:r w:rsidR="003057C6" w:rsidRPr="000D717A">
              <w:rPr>
                <w:b/>
                <w:color w:val="000000" w:themeColor="text1"/>
                <w:sz w:val="20"/>
                <w:szCs w:val="20"/>
                <w:lang w:val="sr-Cyrl-RS"/>
              </w:rPr>
              <w:t>21</w:t>
            </w:r>
          </w:p>
        </w:tc>
      </w:tr>
      <w:tr w:rsidR="000D717A" w:rsidRPr="000D717A" w:rsidTr="003C43C9">
        <w:trPr>
          <w:trHeight w:val="233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B022AA" w:rsidRPr="000D717A" w:rsidRDefault="00B022AA" w:rsidP="003C43C9">
            <w:pPr>
              <w:rPr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Врста и ниво студија, студијски програми:</w:t>
            </w:r>
            <w:r w:rsidRPr="000D717A">
              <w:rPr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0D717A">
              <w:rPr>
                <w:color w:val="000000" w:themeColor="text1"/>
                <w:sz w:val="20"/>
                <w:szCs w:val="20"/>
              </w:rPr>
              <w:t xml:space="preserve">Akaдемске студије </w:t>
            </w:r>
            <w:r w:rsidRPr="000D717A">
              <w:rPr>
                <w:color w:val="000000" w:themeColor="text1"/>
                <w:sz w:val="20"/>
                <w:szCs w:val="20"/>
                <w:lang w:val="bs-Latn-BA"/>
              </w:rPr>
              <w:t>С</w:t>
            </w:r>
            <w:r w:rsidRPr="000D717A">
              <w:rPr>
                <w:color w:val="000000" w:themeColor="text1"/>
                <w:sz w:val="20"/>
                <w:szCs w:val="20"/>
              </w:rPr>
              <w:t>томатологије. Студије трају 12 семестара, укупно има 360 ЕСПБ.</w:t>
            </w:r>
          </w:p>
        </w:tc>
      </w:tr>
      <w:tr w:rsidR="000D717A" w:rsidRPr="000D717A" w:rsidTr="003C43C9">
        <w:trPr>
          <w:trHeight w:val="233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B022AA" w:rsidRPr="000D717A" w:rsidRDefault="00B022AA" w:rsidP="003C43C9">
            <w:pPr>
              <w:rPr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Условљеност другим предметима</w:t>
            </w:r>
            <w:r w:rsidRPr="000D717A">
              <w:rPr>
                <w:color w:val="000000" w:themeColor="text1"/>
                <w:sz w:val="20"/>
                <w:szCs w:val="20"/>
                <w:lang w:val="ru-RU"/>
              </w:rPr>
              <w:t>:Сви положени испити из V године</w:t>
            </w:r>
          </w:p>
        </w:tc>
      </w:tr>
      <w:tr w:rsidR="000D717A" w:rsidRPr="000D717A" w:rsidTr="003C43C9">
        <w:trPr>
          <w:trHeight w:val="233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996314" w:rsidRPr="000D717A" w:rsidRDefault="00B022AA" w:rsidP="00983F2B">
            <w:pPr>
              <w:pStyle w:val="BodyTex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Циљеви изучавања предмета</w:t>
            </w:r>
            <w:r w:rsidR="00983F2B"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је да студенте</w:t>
            </w:r>
            <w:r w:rsidR="004D27AB"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оспособе</w:t>
            </w:r>
            <w:r w:rsidR="00983F2B"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да самостално проведу</w:t>
            </w:r>
            <w:r w:rsidR="004D27AB"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дијагностичке и терапијске процедуре потребне да се изврши успјешна санација и реконструкција меких и чврстих зубних ткива код дјеце, као и да дијагностикује ортодонтске аномалије</w:t>
            </w:r>
          </w:p>
        </w:tc>
      </w:tr>
      <w:tr w:rsidR="000D717A" w:rsidRPr="000D717A" w:rsidTr="003C43C9">
        <w:trPr>
          <w:trHeight w:val="233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172FA2" w:rsidRPr="000D717A" w:rsidRDefault="00B022AA" w:rsidP="00172FA2">
            <w:pPr>
              <w:rPr>
                <w:color w:val="000000" w:themeColor="text1"/>
                <w:sz w:val="20"/>
                <w:szCs w:val="20"/>
                <w:lang w:val="bs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Име и презиме наставника и сарадника:</w:t>
            </w:r>
            <w:r w:rsidRPr="000D717A">
              <w:rPr>
                <w:color w:val="000000" w:themeColor="text1"/>
                <w:sz w:val="20"/>
                <w:szCs w:val="20"/>
                <w:lang w:val="bs-Latn-BA"/>
              </w:rPr>
              <w:t xml:space="preserve"> </w:t>
            </w:r>
            <w:r w:rsidR="00172FA2" w:rsidRPr="000D717A">
              <w:rPr>
                <w:color w:val="000000" w:themeColor="text1"/>
                <w:sz w:val="20"/>
                <w:szCs w:val="20"/>
                <w:lang w:val="bs-Cyrl-BA"/>
              </w:rPr>
              <w:t xml:space="preserve">Проф. др Бојана Давидовић, проф. др Свјетлана Јанковић, проф. др Драган Ивановић, проф. др Предраг Николић, доц. др Тања Ивановић, доц. др Жељко Милосављевић, </w:t>
            </w:r>
          </w:p>
          <w:p w:rsidR="00B022AA" w:rsidRPr="000D717A" w:rsidRDefault="00172FA2" w:rsidP="00172FA2">
            <w:pPr>
              <w:rPr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color w:val="000000" w:themeColor="text1"/>
                <w:sz w:val="20"/>
                <w:szCs w:val="20"/>
                <w:lang w:val="bs-Cyrl-BA"/>
              </w:rPr>
              <w:t>доц. др Љиљана Стојановић</w:t>
            </w:r>
            <w:r w:rsidR="00EC1D04" w:rsidRPr="000D717A">
              <w:rPr>
                <w:color w:val="000000" w:themeColor="text1"/>
                <w:sz w:val="20"/>
                <w:szCs w:val="20"/>
                <w:lang w:val="bs-Cyrl-BA"/>
              </w:rPr>
              <w:t xml:space="preserve">; </w:t>
            </w:r>
            <w:r w:rsidR="00EC1D04" w:rsidRPr="000D717A">
              <w:rPr>
                <w:color w:val="000000" w:themeColor="text1"/>
              </w:rPr>
              <w:t xml:space="preserve"> </w:t>
            </w:r>
            <w:r w:rsidR="00EC1D04" w:rsidRPr="000D717A">
              <w:rPr>
                <w:color w:val="000000" w:themeColor="text1"/>
                <w:sz w:val="20"/>
                <w:szCs w:val="20"/>
                <w:lang w:val="bs-Cyrl-BA"/>
              </w:rPr>
              <w:t>Асист. Марина Милинковић</w:t>
            </w:r>
          </w:p>
        </w:tc>
      </w:tr>
      <w:tr w:rsidR="000D717A" w:rsidRPr="000D717A" w:rsidTr="003C43C9">
        <w:trPr>
          <w:trHeight w:val="233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B022AA" w:rsidRPr="000D717A" w:rsidRDefault="00B022AA" w:rsidP="003C43C9">
            <w:pPr>
              <w:rPr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Методе наставе и савладавања градива</w:t>
            </w:r>
            <w:r w:rsidRPr="000D717A">
              <w:rPr>
                <w:color w:val="000000" w:themeColor="text1"/>
                <w:sz w:val="20"/>
                <w:szCs w:val="20"/>
                <w:lang w:val="ru-RU"/>
              </w:rPr>
              <w:t xml:space="preserve">: </w:t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0D717A">
              <w:rPr>
                <w:color w:val="000000" w:themeColor="text1"/>
                <w:sz w:val="20"/>
                <w:szCs w:val="20"/>
                <w:lang w:val="sr-Cyrl-BA"/>
              </w:rPr>
              <w:t xml:space="preserve"> Предавања, вјежбе, семинари, колоквији и концултације. </w:t>
            </w:r>
          </w:p>
        </w:tc>
      </w:tr>
      <w:tr w:rsidR="000D717A" w:rsidRPr="000D717A" w:rsidTr="003C43C9">
        <w:trPr>
          <w:trHeight w:val="233"/>
          <w:tblHeader/>
          <w:tblCellSpacing w:w="15" w:type="dxa"/>
        </w:trPr>
        <w:tc>
          <w:tcPr>
            <w:tcW w:w="8460" w:type="dxa"/>
            <w:gridSpan w:val="15"/>
            <w:shd w:val="clear" w:color="auto" w:fill="FFFFFF"/>
            <w:vAlign w:val="center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седмицама: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Број часова</w:t>
            </w:r>
          </w:p>
        </w:tc>
      </w:tr>
      <w:tr w:rsidR="000D717A" w:rsidRPr="000D717A" w:rsidTr="00A00CA5">
        <w:trPr>
          <w:trHeight w:val="180"/>
          <w:tblHeader/>
          <w:tblCellSpacing w:w="15" w:type="dxa"/>
        </w:trPr>
        <w:tc>
          <w:tcPr>
            <w:tcW w:w="598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832" w:type="dxa"/>
            <w:gridSpan w:val="14"/>
            <w:tcBorders>
              <w:top w:val="nil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1.Стоматолошки рад са дјецом. Контрола бола. Специфичности планирања стоматолошког рада са дјецом. Стоматолошки прегледи и документација.</w:t>
            </w:r>
          </w:p>
        </w:tc>
        <w:tc>
          <w:tcPr>
            <w:tcW w:w="836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A00CA5">
        <w:trPr>
          <w:trHeight w:val="22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832" w:type="dxa"/>
            <w:gridSpan w:val="14"/>
            <w:tcBorders>
              <w:top w:val="nil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2. Ергономија у стоматологији (Професионална обољења и болести у вези са радом у стоматологији. Ризични фактори у стоматологији: биолошки, биомеханички, хемијски, физички и психогени.)</w:t>
            </w:r>
          </w:p>
        </w:tc>
        <w:tc>
          <w:tcPr>
            <w:tcW w:w="8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D717A" w:rsidRPr="000D717A" w:rsidTr="00A00CA5">
        <w:trPr>
          <w:trHeight w:val="19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3. Специфичности хендикапиране дјеце, етиологија, ментални хендикеп, медицински хендикеп.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A00CA5">
        <w:trPr>
          <w:trHeight w:val="224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 xml:space="preserve">4. Неправилности развитка зуба. Неправилности броја зуба. Неправилности величине, облика, положаја и боје. Неправилности структуре зуба (MИХ). 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A00CA5">
        <w:trPr>
          <w:trHeight w:val="16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 xml:space="preserve">5. Каријес раног дјетинства. Терапија обољења пулпе млијечних и младих сталних зуба. 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A00CA5">
        <w:trPr>
          <w:trHeight w:val="25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6. Примјена антибиотика у дјеце.</w:t>
            </w:r>
            <w:r w:rsidRPr="000D717A">
              <w:rPr>
                <w:color w:val="000000" w:themeColor="text1"/>
              </w:rPr>
              <w:t xml:space="preserve"> </w:t>
            </w: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Приступ и комуникација са особама високог ризика и особама са посебним потребама у стоматолошкој ординацији.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D717A" w:rsidRPr="000D717A" w:rsidTr="00A00CA5">
        <w:trPr>
          <w:trHeight w:val="18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7.Обољења усана, језика у дјеце.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A00CA5">
        <w:trPr>
          <w:trHeight w:val="18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 xml:space="preserve">8.Оралне манифестације инфективних, системских болести у дјеце. 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BodyTex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D717A" w:rsidRPr="000D717A" w:rsidTr="00A00CA5">
        <w:trPr>
          <w:trHeight w:val="13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9. Протетско збрињавање дјеце и омладине.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A00CA5">
        <w:trPr>
          <w:trHeight w:val="15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 xml:space="preserve">10.Специфичности оралнохируршке интервенције у дјеце.  Збрињавање повреда зуба и потпрних ткива у дјечијем узрасту. 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A00CA5">
        <w:trPr>
          <w:trHeight w:val="15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11.Начин дијагностиковања ортодонтских аномалија, анализа снимака, анализа студијских модела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A00CA5">
        <w:trPr>
          <w:trHeight w:val="19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12.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12.Специфичности рада са одраслим особама и дјецом.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3C43C9">
        <w:trPr>
          <w:trHeight w:val="18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13.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13.Приказ и припрема за терапију пацијената ометених у развоју.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A00CA5">
        <w:trPr>
          <w:trHeight w:val="16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14.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14.Припрема и терапија пацијената за ортодонтско-хируршки третман.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A00CA5">
        <w:trPr>
          <w:trHeight w:val="138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color w:val="000000" w:themeColor="text1"/>
                <w:sz w:val="20"/>
                <w:szCs w:val="20"/>
                <w:lang w:val="sr-Latn-BA"/>
              </w:rPr>
              <w:t>15.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410907" w:rsidRPr="000D717A" w:rsidRDefault="00410907" w:rsidP="00DC5735">
            <w:pPr>
              <w:rPr>
                <w:b/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15.Листа проблема и план терапије.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410907" w:rsidRPr="000D717A" w:rsidRDefault="00410907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0D717A" w:rsidRPr="000D717A" w:rsidTr="003C43C9">
        <w:trPr>
          <w:trHeight w:val="22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8698" w:type="dxa"/>
            <w:gridSpan w:val="15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CS"/>
              </w:rPr>
              <w:t>Вјежбе</w:t>
            </w:r>
          </w:p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</w:p>
        </w:tc>
      </w:tr>
      <w:tr w:rsidR="000D717A" w:rsidRPr="000D717A" w:rsidTr="00E85C60">
        <w:trPr>
          <w:trHeight w:val="12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1. Стоматолошки преглед дјетета.</w:t>
            </w:r>
            <w:r w:rsidRPr="000D717A">
              <w:rPr>
                <w:color w:val="000000" w:themeColor="text1"/>
              </w:rPr>
              <w:t xml:space="preserve"> </w:t>
            </w:r>
          </w:p>
        </w:tc>
        <w:tc>
          <w:tcPr>
            <w:tcW w:w="836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      45</w:t>
            </w:r>
          </w:p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         </w:t>
            </w:r>
          </w:p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      </w:t>
            </w:r>
          </w:p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      </w:t>
            </w:r>
          </w:p>
        </w:tc>
      </w:tr>
      <w:tr w:rsidR="000D717A" w:rsidRPr="000D717A" w:rsidTr="00E85C60">
        <w:trPr>
          <w:trHeight w:val="10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2. Терапија дубоког каријеса млијечних зуба.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11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3. Терапија каријеса раног дјетинства.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10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4. Терапија обољења пулпе млијечних и сталних зуба.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0D717A" w:rsidRPr="000D717A" w:rsidTr="00E85C60">
        <w:trPr>
          <w:trHeight w:val="12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lastRenderedPageBreak/>
              <w:t>5.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5. Терапија обољења пулпе сталних зуба са незавршеним растом коријена у дјеце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11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lastRenderedPageBreak/>
              <w:t>6.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6. Материјали и медикаменти у дјечијој стоматологији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9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7.Терапија обољења меких ткива и парадонцијума у дјеце.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9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8.Оралнохируршке интервенције у дјеце.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0D717A" w:rsidRPr="000D717A" w:rsidTr="00E85C60">
        <w:trPr>
          <w:trHeight w:val="11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9. Протетско збрињавање дјеце.</w:t>
            </w:r>
            <w:r w:rsidRPr="000D717A">
              <w:rPr>
                <w:color w:val="000000" w:themeColor="text1"/>
              </w:rPr>
              <w:t xml:space="preserve"> </w:t>
            </w: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Естетско збрињавање структурних аномалија сталних зуба.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0D717A" w:rsidRPr="000D717A" w:rsidTr="00E85C60">
        <w:trPr>
          <w:trHeight w:val="120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10. Развитак правилне оклузије млијечних и сталних зуба, одступања. Клинички приказ пацијената.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10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11.Клинички налаз на пацијенту, анализа лица, анализа фотографије, рендген дијагностика.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9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12.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 xml:space="preserve">12.Анализа модела: анализа оклузије у сагиталном, вертикалном и трансверзалном правцу. 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9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13.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13. Принципи  екстракционе терапије.Покретни ортодонтски апарати. Функционални ортодонтски апарати.Фиксни ортодонстки апарати.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9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14.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A619E1" w:rsidRPr="000D717A" w:rsidRDefault="00A619E1" w:rsidP="00801184">
            <w:pPr>
              <w:jc w:val="both"/>
              <w:rPr>
                <w:color w:val="000000" w:themeColor="text1"/>
                <w:sz w:val="20"/>
                <w:szCs w:val="20"/>
                <w:lang w:val="sr-Latn-R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14.</w:t>
            </w:r>
            <w:r w:rsidRPr="000D717A">
              <w:rPr>
                <w:color w:val="000000" w:themeColor="text1"/>
              </w:rPr>
              <w:t xml:space="preserve"> </w:t>
            </w: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Интерцептивне мјере у ортодонцији</w:t>
            </w:r>
            <w:r w:rsidRPr="000D717A">
              <w:rPr>
                <w:color w:val="000000" w:themeColor="text1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E85C60">
        <w:trPr>
          <w:trHeight w:val="105"/>
          <w:tblHeader/>
          <w:tblCellSpacing w:w="15" w:type="dxa"/>
        </w:trPr>
        <w:tc>
          <w:tcPr>
            <w:tcW w:w="59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Latn-BA"/>
              </w:rPr>
              <w:t>15.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A619E1" w:rsidRPr="000D717A" w:rsidRDefault="00A619E1" w:rsidP="00801184">
            <w:pPr>
              <w:rPr>
                <w:color w:val="000000" w:themeColor="text1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RS"/>
              </w:rPr>
              <w:t>15. Тест 1 (дјечија стоматологија) + Тест 2 (ортопедија вилица).</w:t>
            </w:r>
          </w:p>
        </w:tc>
        <w:tc>
          <w:tcPr>
            <w:tcW w:w="8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619E1" w:rsidRPr="000D717A" w:rsidRDefault="00A619E1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0D717A" w:rsidRPr="000D717A" w:rsidTr="003C43C9">
        <w:trPr>
          <w:trHeight w:val="195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  <w:vAlign w:val="center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Оптерећење студента по предмету:</w:t>
            </w:r>
          </w:p>
        </w:tc>
      </w:tr>
      <w:tr w:rsidR="000D717A" w:rsidRPr="000D717A" w:rsidTr="003C43C9">
        <w:trPr>
          <w:trHeight w:val="420"/>
          <w:tblHeader/>
          <w:tblCellSpacing w:w="15" w:type="dxa"/>
        </w:trPr>
        <w:tc>
          <w:tcPr>
            <w:tcW w:w="2890" w:type="dxa"/>
            <w:gridSpan w:val="4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Недељно:</w:t>
            </w:r>
          </w:p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Кредитни коефицијент</w:t>
            </w:r>
          </w:p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к=</w:t>
            </w:r>
            <w:r w:rsidRPr="000D717A">
              <w:rPr>
                <w:b/>
                <w:color w:val="000000" w:themeColor="text1"/>
                <w:sz w:val="20"/>
                <w:szCs w:val="20"/>
              </w:rPr>
              <w:t>9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/30=0,</w:t>
            </w:r>
            <w:r w:rsidRPr="000D717A">
              <w:rPr>
                <w:b/>
                <w:color w:val="000000" w:themeColor="text1"/>
                <w:sz w:val="20"/>
                <w:szCs w:val="20"/>
              </w:rPr>
              <w:t>3</w:t>
            </w:r>
          </w:p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Недељно оптерећење:</w:t>
            </w:r>
          </w:p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=0,</w:t>
            </w:r>
            <w:r w:rsidRPr="000D717A">
              <w:rPr>
                <w:b/>
                <w:color w:val="000000" w:themeColor="text1"/>
                <w:sz w:val="20"/>
                <w:szCs w:val="20"/>
              </w:rPr>
              <w:t>3</w:t>
            </w:r>
            <w:r w:rsidRPr="000D717A">
              <w:rPr>
                <w:b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x 40 сати=</w:t>
            </w:r>
            <w:r w:rsidRPr="000D717A">
              <w:rPr>
                <w:b/>
                <w:color w:val="000000" w:themeColor="text1"/>
                <w:sz w:val="20"/>
                <w:szCs w:val="20"/>
                <w:lang w:val="bs-Cyrl-BA"/>
              </w:rPr>
              <w:t>1</w:t>
            </w:r>
            <w:r w:rsidRPr="000D717A">
              <w:rPr>
                <w:b/>
                <w:color w:val="000000" w:themeColor="text1"/>
                <w:sz w:val="20"/>
                <w:szCs w:val="20"/>
              </w:rPr>
              <w:t>2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сати</w:t>
            </w:r>
          </w:p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bs-Cyrl-BA"/>
              </w:rPr>
              <w:t>1</w:t>
            </w:r>
            <w:r w:rsidRPr="000D717A">
              <w:rPr>
                <w:b/>
                <w:color w:val="000000" w:themeColor="text1"/>
                <w:sz w:val="20"/>
                <w:szCs w:val="20"/>
              </w:rPr>
              <w:t>2</w:t>
            </w:r>
            <w:r w:rsidRPr="000D717A">
              <w:rPr>
                <w:b/>
                <w:color w:val="000000" w:themeColor="text1"/>
                <w:sz w:val="20"/>
                <w:szCs w:val="20"/>
                <w:lang w:val="bs-Cyrl-BA"/>
              </w:rPr>
              <w:t xml:space="preserve"> сата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6406" w:type="dxa"/>
            <w:gridSpan w:val="12"/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У семестру:</w:t>
            </w:r>
          </w:p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Укупно оптерећење за предмет:</w:t>
            </w:r>
          </w:p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9 x 30 сати/кредиту=270 сати</w:t>
            </w:r>
          </w:p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bs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Активна настава:6 x15=90 сати предавања</w:t>
            </w:r>
            <w:r w:rsidRPr="000D717A">
              <w:rPr>
                <w:b/>
                <w:color w:val="000000" w:themeColor="text1"/>
                <w:sz w:val="20"/>
                <w:szCs w:val="20"/>
                <w:lang w:val="bs-Latn-BA"/>
              </w:rPr>
              <w:t xml:space="preserve"> и вјежби</w:t>
            </w:r>
          </w:p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Завршна провјера знања: 10 сати</w:t>
            </w:r>
          </w:p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Самосталан рад: учење, консултације </w:t>
            </w:r>
            <w:r w:rsidRPr="000D717A">
              <w:rPr>
                <w:b/>
                <w:color w:val="000000" w:themeColor="text1"/>
                <w:sz w:val="20"/>
                <w:szCs w:val="20"/>
                <w:lang w:val="bs-Cyrl-BA"/>
              </w:rPr>
              <w:t>170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сати</w:t>
            </w:r>
          </w:p>
        </w:tc>
      </w:tr>
      <w:tr w:rsidR="000D717A" w:rsidRPr="000D717A" w:rsidTr="003C43C9">
        <w:trPr>
          <w:trHeight w:val="121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Обавезе студента:  Обавезно присуство настави и вјежбама, обавезна овјера сваке вјежбе појединачно.</w:t>
            </w:r>
            <w:r w:rsidRPr="000D717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0D717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0D717A" w:rsidRPr="000D717A" w:rsidTr="003C43C9">
        <w:trPr>
          <w:trHeight w:val="240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B022AA" w:rsidRPr="000D717A" w:rsidRDefault="00B022AA" w:rsidP="003C43C9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  <w:lang w:val="sr-Latn-CS"/>
              </w:rPr>
            </w:pPr>
            <w:r w:rsidRPr="000D717A">
              <w:rPr>
                <w:color w:val="000000" w:themeColor="text1"/>
                <w:sz w:val="20"/>
                <w:szCs w:val="20"/>
                <w:lang w:val="it-IT"/>
              </w:rPr>
              <w:t>Литература:</w:t>
            </w:r>
            <w:r w:rsidRPr="000D717A">
              <w:rPr>
                <w:bCs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  <w:p w:rsidR="00055461" w:rsidRPr="000D717A" w:rsidRDefault="00055461" w:rsidP="003C43C9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  <w:lang w:val="sr-Latn-CS"/>
              </w:rPr>
            </w:pPr>
          </w:p>
          <w:p w:rsidR="00A619E1" w:rsidRPr="000D717A" w:rsidRDefault="00A619E1" w:rsidP="00A619E1">
            <w:pPr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>Белоица Д. и сарадници Дечија стоматологија. Драслар партнер, 2. Издање, Београд 2005.</w:t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</w:r>
          </w:p>
          <w:p w:rsidR="00A619E1" w:rsidRPr="000D717A" w:rsidRDefault="00A619E1" w:rsidP="00A619E1">
            <w:pPr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>Марковић М. Ортодонција, Медицинска књига, Београд Загреб 1989.</w:t>
            </w:r>
          </w:p>
          <w:p w:rsidR="00A619E1" w:rsidRPr="000D717A" w:rsidRDefault="00A619E1" w:rsidP="00A619E1">
            <w:pPr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>Долић О. и Обрадовић М, Сукара С, Којић Ж, Тртић Н, Јанковић С. Особе са посебним потребама у ординацији денталне медицине 2019.</w:t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</w:r>
          </w:p>
          <w:p w:rsidR="00A619E1" w:rsidRPr="000D717A" w:rsidRDefault="00A619E1" w:rsidP="00A619E1">
            <w:pPr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>Белоица Д. и сарадници</w:t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  <w:t>Дечија стоматологија-практикум. Стоматолошки факултете Универзитета у Београду, Београд</w:t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  <w:t>2010.</w:t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</w:r>
          </w:p>
          <w:p w:rsidR="00A619E1" w:rsidRPr="000D717A" w:rsidRDefault="00A619E1" w:rsidP="00A619E1">
            <w:pPr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>Белоица Д.  и сарадници Повреде зуба. Стоматолошки факултет, Београд</w:t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  <w:t xml:space="preserve"> 2007.</w:t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</w:r>
          </w:p>
          <w:p w:rsidR="00A619E1" w:rsidRPr="000D717A" w:rsidRDefault="00A619E1" w:rsidP="00A619E1">
            <w:pPr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>Марковић Д. и сарадници Повреде зуба. Водич за свакодневну клиничку праксу. 2 издање. Стандард 2. 2016.</w:t>
            </w: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ab/>
            </w:r>
          </w:p>
          <w:p w:rsidR="00B022AA" w:rsidRPr="000D717A" w:rsidRDefault="00A619E1" w:rsidP="00A619E1">
            <w:pPr>
              <w:numPr>
                <w:ilvl w:val="0"/>
                <w:numId w:val="1"/>
              </w:numPr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>Јакшић Н. и сарадници Ортодонтска дијагностика- практикум за основне студије.I издање, Графос-Београд, Београд 2004.</w:t>
            </w:r>
          </w:p>
        </w:tc>
      </w:tr>
      <w:tr w:rsidR="000D717A" w:rsidRPr="000D717A" w:rsidTr="003C43C9">
        <w:trPr>
          <w:trHeight w:val="315"/>
          <w:tblHeader/>
          <w:tblCellSpacing w:w="15" w:type="dxa"/>
        </w:trPr>
        <w:tc>
          <w:tcPr>
            <w:tcW w:w="9326" w:type="dxa"/>
            <w:gridSpan w:val="16"/>
            <w:tcBorders>
              <w:bottom w:val="single" w:sz="6" w:space="0" w:color="000000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Облици провјере знања и оцјењивање: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</w:p>
          <w:p w:rsidR="00B022AA" w:rsidRPr="000D717A" w:rsidRDefault="00B022AA" w:rsidP="003C43C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D717A">
              <w:rPr>
                <w:color w:val="000000" w:themeColor="text1"/>
                <w:sz w:val="20"/>
                <w:szCs w:val="20"/>
              </w:rPr>
              <w:t>Коначна оцјена је збир поена освојених на предиспитном и испитномк дијелу испта.</w:t>
            </w:r>
          </w:p>
          <w:p w:rsidR="00B022AA" w:rsidRPr="000D717A" w:rsidRDefault="00B022AA" w:rsidP="003C43C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D717A">
              <w:rPr>
                <w:color w:val="000000" w:themeColor="text1"/>
                <w:sz w:val="20"/>
                <w:szCs w:val="20"/>
              </w:rPr>
              <w:t>Коначна оцјена се рангира према следећим критеријумима:</w:t>
            </w:r>
          </w:p>
          <w:p w:rsidR="00B022AA" w:rsidRPr="000D717A" w:rsidRDefault="00B022AA" w:rsidP="003C43C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D717A">
              <w:rPr>
                <w:color w:val="000000" w:themeColor="text1"/>
                <w:sz w:val="20"/>
                <w:szCs w:val="20"/>
              </w:rPr>
              <w:t xml:space="preserve">     51-60= 6;</w:t>
            </w:r>
          </w:p>
          <w:p w:rsidR="00B022AA" w:rsidRPr="000D717A" w:rsidRDefault="00B022AA" w:rsidP="003C43C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D717A">
              <w:rPr>
                <w:color w:val="000000" w:themeColor="text1"/>
                <w:sz w:val="20"/>
                <w:szCs w:val="20"/>
              </w:rPr>
              <w:t xml:space="preserve">     61-70=7;</w:t>
            </w:r>
          </w:p>
          <w:p w:rsidR="00B022AA" w:rsidRPr="000D717A" w:rsidRDefault="00B022AA" w:rsidP="003C43C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D717A">
              <w:rPr>
                <w:color w:val="000000" w:themeColor="text1"/>
                <w:sz w:val="20"/>
                <w:szCs w:val="20"/>
              </w:rPr>
              <w:t xml:space="preserve">     71-80=8;</w:t>
            </w:r>
          </w:p>
          <w:p w:rsidR="00B022AA" w:rsidRPr="000D717A" w:rsidRDefault="00B022AA" w:rsidP="003C43C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D717A">
              <w:rPr>
                <w:color w:val="000000" w:themeColor="text1"/>
                <w:sz w:val="20"/>
                <w:szCs w:val="20"/>
              </w:rPr>
              <w:t xml:space="preserve">     81-90=9;</w:t>
            </w:r>
          </w:p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sr-Cyrl-RS"/>
              </w:rPr>
            </w:pPr>
            <w:r w:rsidRPr="000D717A">
              <w:rPr>
                <w:color w:val="000000" w:themeColor="text1"/>
                <w:sz w:val="20"/>
                <w:szCs w:val="20"/>
              </w:rPr>
              <w:t xml:space="preserve">     91-100=10.</w:t>
            </w:r>
            <w:bookmarkStart w:id="0" w:name="_GoBack"/>
            <w:bookmarkEnd w:id="0"/>
          </w:p>
        </w:tc>
      </w:tr>
      <w:tr w:rsidR="000D717A" w:rsidRPr="000D717A" w:rsidTr="003C43C9">
        <w:trPr>
          <w:trHeight w:val="105"/>
          <w:tblHeader/>
          <w:tblCellSpacing w:w="15" w:type="dxa"/>
        </w:trPr>
        <w:tc>
          <w:tcPr>
            <w:tcW w:w="9326" w:type="dxa"/>
            <w:gridSpan w:val="1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0D717A">
              <w:rPr>
                <w:rFonts w:ascii="Calibri" w:hAnsi="Calibri"/>
                <w:b/>
                <w:color w:val="000000" w:themeColor="text1"/>
                <w:sz w:val="20"/>
                <w:szCs w:val="20"/>
                <w:lang w:val="sr-Cyrl-CS"/>
              </w:rPr>
              <w:t xml:space="preserve">                                                                 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CS"/>
              </w:rPr>
              <w:t>Оцјена знања</w:t>
            </w:r>
            <w:r w:rsidRPr="000D717A">
              <w:rPr>
                <w:b/>
                <w:color w:val="000000" w:themeColor="text1"/>
                <w:sz w:val="20"/>
                <w:szCs w:val="20"/>
                <w:lang w:val="bs-Latn-BA"/>
              </w:rPr>
              <w:t xml:space="preserve"> 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CS"/>
              </w:rPr>
              <w:t>(максималан број поена 100)</w:t>
            </w:r>
          </w:p>
        </w:tc>
      </w:tr>
      <w:tr w:rsidR="000D717A" w:rsidRPr="000D717A" w:rsidTr="003C43C9">
        <w:trPr>
          <w:trHeight w:val="110"/>
          <w:tblHeader/>
          <w:tblCellSpacing w:w="15" w:type="dxa"/>
        </w:trPr>
        <w:tc>
          <w:tcPr>
            <w:tcW w:w="247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454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tabs>
                <w:tab w:val="left" w:pos="795"/>
                <w:tab w:val="center" w:pos="2262"/>
              </w:tabs>
              <w:rPr>
                <w:b/>
                <w:color w:val="000000" w:themeColor="text1"/>
                <w:sz w:val="20"/>
                <w:szCs w:val="20"/>
                <w:lang w:val="bs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bs-Latn-BA"/>
              </w:rPr>
              <w:tab/>
            </w:r>
            <w:r w:rsidRPr="000D717A">
              <w:rPr>
                <w:b/>
                <w:color w:val="000000" w:themeColor="text1"/>
                <w:sz w:val="20"/>
                <w:szCs w:val="20"/>
                <w:lang w:val="bs-Latn-BA"/>
              </w:rPr>
              <w:tab/>
              <w:t>поени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поени</w:t>
            </w:r>
          </w:p>
        </w:tc>
      </w:tr>
      <w:tr w:rsidR="000D717A" w:rsidRPr="000D717A" w:rsidTr="003C43C9">
        <w:trPr>
          <w:trHeight w:val="95"/>
          <w:tblHeader/>
          <w:tblCellSpacing w:w="15" w:type="dxa"/>
        </w:trPr>
        <w:tc>
          <w:tcPr>
            <w:tcW w:w="247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Активност у току предавања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                  1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тест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B022AA" w:rsidRPr="000D717A" w:rsidRDefault="00EF79EF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5</w:t>
            </w:r>
            <w:r w:rsidR="00B022AA" w:rsidRPr="000D717A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0D717A" w:rsidRPr="000D717A" w:rsidTr="003C43C9">
        <w:trPr>
          <w:trHeight w:val="120"/>
          <w:tblHeader/>
          <w:tblCellSpacing w:w="15" w:type="dxa"/>
        </w:trPr>
        <w:tc>
          <w:tcPr>
            <w:tcW w:w="247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Практична настава</w:t>
            </w: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, </w:t>
            </w:r>
            <w:r w:rsidR="00A561DB" w:rsidRPr="000D717A">
              <w:rPr>
                <w:b/>
                <w:color w:val="000000" w:themeColor="text1"/>
                <w:sz w:val="20"/>
                <w:szCs w:val="20"/>
              </w:rPr>
              <w:t>Те</w:t>
            </w:r>
            <w:r w:rsidRPr="000D717A">
              <w:rPr>
                <w:b/>
                <w:color w:val="000000" w:themeColor="text1"/>
                <w:sz w:val="20"/>
                <w:szCs w:val="20"/>
              </w:rPr>
              <w:t>цт 1, Тест 2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                  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CS"/>
              </w:rPr>
              <w:t>10+10+10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практични 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0D717A" w:rsidRPr="000D717A" w:rsidTr="003C43C9">
        <w:trPr>
          <w:trHeight w:val="180"/>
          <w:tblHeader/>
          <w:tblCellSpacing w:w="15" w:type="dxa"/>
        </w:trPr>
        <w:tc>
          <w:tcPr>
            <w:tcW w:w="247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lastRenderedPageBreak/>
              <w:t>С</w:t>
            </w: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еминари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 xml:space="preserve">                  </w:t>
            </w:r>
            <w:r w:rsidRPr="000D717A">
              <w:rPr>
                <w:b/>
                <w:color w:val="000000" w:themeColor="text1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>усмени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B022AA" w:rsidRPr="000D717A" w:rsidRDefault="00EF79EF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0D717A" w:rsidRPr="000D717A" w:rsidTr="003C43C9">
        <w:trPr>
          <w:trHeight w:val="180"/>
          <w:tblHeader/>
          <w:tblCellSpacing w:w="15" w:type="dxa"/>
        </w:trPr>
        <w:tc>
          <w:tcPr>
            <w:tcW w:w="247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CS"/>
              </w:rPr>
              <w:t xml:space="preserve">                   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022AA" w:rsidRPr="000D717A" w:rsidRDefault="00B022AA" w:rsidP="003C43C9">
            <w:pPr>
              <w:jc w:val="both"/>
              <w:rPr>
                <w:b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B022AA" w:rsidRPr="000D717A" w:rsidRDefault="00B022AA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D717A" w:rsidRPr="000D717A" w:rsidTr="003C43C9">
        <w:trPr>
          <w:trHeight w:val="180"/>
          <w:tblHeader/>
          <w:tblCellSpacing w:w="15" w:type="dxa"/>
        </w:trPr>
        <w:tc>
          <w:tcPr>
            <w:tcW w:w="9326" w:type="dxa"/>
            <w:gridSpan w:val="16"/>
            <w:tcBorders>
              <w:top w:val="single" w:sz="6" w:space="0" w:color="000000"/>
            </w:tcBorders>
            <w:shd w:val="clear" w:color="auto" w:fill="FFFFFF"/>
          </w:tcPr>
          <w:p w:rsidR="005D50E0" w:rsidRPr="000D717A" w:rsidRDefault="00A561DB" w:rsidP="003C43C9">
            <w:pPr>
              <w:rPr>
                <w:b/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pl-PL"/>
              </w:rPr>
              <w:t>К</w:t>
            </w:r>
            <w:r w:rsidR="00B022AA" w:rsidRPr="000D717A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омпентенције: </w:t>
            </w:r>
          </w:p>
          <w:p w:rsidR="004D27AB" w:rsidRPr="000D717A" w:rsidRDefault="005D50E0" w:rsidP="003C43C9">
            <w:pPr>
              <w:rPr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color w:val="000000" w:themeColor="text1"/>
                <w:sz w:val="20"/>
                <w:szCs w:val="20"/>
                <w:lang w:val="sr-Cyrl-CS"/>
              </w:rPr>
              <w:t>Студенти ће бити оспособљени да самостално ураде:</w:t>
            </w:r>
          </w:p>
          <w:p w:rsidR="004D27AB" w:rsidRPr="000D717A" w:rsidRDefault="004D27AB" w:rsidP="004D27AB">
            <w:pPr>
              <w:pStyle w:val="BodyText"/>
              <w:numPr>
                <w:ilvl w:val="0"/>
                <w:numId w:val="3"/>
              </w:num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Дијагностик</w:t>
            </w:r>
            <w:r w:rsidR="005D50E0"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у</w:t>
            </w:r>
            <w:r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и терапиј</w:t>
            </w:r>
            <w:r w:rsidR="005D50E0"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у</w:t>
            </w:r>
            <w:r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 чврстих зубних ткива код дјеце,</w:t>
            </w:r>
          </w:p>
          <w:p w:rsidR="004D27AB" w:rsidRPr="000D717A" w:rsidRDefault="004D27AB" w:rsidP="004D27AB">
            <w:pPr>
              <w:pStyle w:val="BodyText"/>
              <w:numPr>
                <w:ilvl w:val="0"/>
                <w:numId w:val="3"/>
              </w:num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Д</w:t>
            </w:r>
            <w:r w:rsidR="005D50E0"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ијагностику</w:t>
            </w:r>
            <w:r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и терапиј</w:t>
            </w:r>
            <w:r w:rsidR="005D50E0"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у</w:t>
            </w:r>
            <w:r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 меких ткива код дјеце, </w:t>
            </w:r>
          </w:p>
          <w:p w:rsidR="00B022AA" w:rsidRPr="000D717A" w:rsidRDefault="005D50E0" w:rsidP="003C43C9">
            <w:pPr>
              <w:pStyle w:val="BodyText"/>
              <w:numPr>
                <w:ilvl w:val="0"/>
                <w:numId w:val="3"/>
              </w:num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</w:pPr>
            <w:r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Дијагностику </w:t>
            </w:r>
            <w:r w:rsidR="004D27AB" w:rsidRPr="000D717A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ортодонтских аномалија код дјеце.</w:t>
            </w:r>
          </w:p>
        </w:tc>
      </w:tr>
      <w:tr w:rsidR="000D717A" w:rsidRPr="000D717A" w:rsidTr="003C43C9">
        <w:trPr>
          <w:trHeight w:val="210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B022AA" w:rsidRPr="000D717A" w:rsidRDefault="00B022AA" w:rsidP="00996314">
            <w:pPr>
              <w:rPr>
                <w:b/>
                <w:color w:val="000000" w:themeColor="text1"/>
                <w:sz w:val="20"/>
                <w:szCs w:val="20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Име и презиме наставника који је припремио податке: </w:t>
            </w:r>
            <w:r w:rsidR="00996314" w:rsidRPr="000D717A">
              <w:rPr>
                <w:b/>
                <w:color w:val="000000" w:themeColor="text1"/>
                <w:sz w:val="20"/>
                <w:szCs w:val="20"/>
                <w:lang w:val="bs-Latn-BA"/>
              </w:rPr>
              <w:t xml:space="preserve"> Доц.</w:t>
            </w:r>
            <w:r w:rsidR="00996314" w:rsidRPr="000D717A">
              <w:rPr>
                <w:b/>
                <w:color w:val="000000" w:themeColor="text1"/>
                <w:sz w:val="20"/>
                <w:szCs w:val="20"/>
              </w:rPr>
              <w:t xml:space="preserve"> др </w:t>
            </w:r>
            <w:r w:rsidR="00996314"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Драган </w:t>
            </w:r>
            <w:r w:rsidR="00996314" w:rsidRPr="000D717A">
              <w:rPr>
                <w:b/>
                <w:color w:val="000000" w:themeColor="text1"/>
                <w:sz w:val="20"/>
                <w:szCs w:val="20"/>
              </w:rPr>
              <w:t xml:space="preserve"> Ивановић,</w:t>
            </w:r>
            <w:r w:rsidR="00996314"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 </w:t>
            </w:r>
            <w:r w:rsidR="00996314" w:rsidRPr="000D717A">
              <w:rPr>
                <w:b/>
                <w:color w:val="000000" w:themeColor="text1"/>
                <w:sz w:val="20"/>
                <w:szCs w:val="20"/>
                <w:lang w:val="sr-Latn-CS"/>
              </w:rPr>
              <w:t>Доц</w:t>
            </w:r>
            <w:r w:rsidR="00996314"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.  др Свјетлана  Јанковић, Доц.др  Бојана  Давидовић</w:t>
            </w:r>
          </w:p>
        </w:tc>
      </w:tr>
      <w:tr w:rsidR="000D717A" w:rsidRPr="000D717A" w:rsidTr="003C43C9">
        <w:trPr>
          <w:trHeight w:val="195"/>
          <w:tblHeader/>
          <w:tblCellSpacing w:w="15" w:type="dxa"/>
        </w:trPr>
        <w:tc>
          <w:tcPr>
            <w:tcW w:w="9326" w:type="dxa"/>
            <w:gridSpan w:val="16"/>
            <w:shd w:val="clear" w:color="auto" w:fill="FFFFFF"/>
          </w:tcPr>
          <w:p w:rsidR="00B022AA" w:rsidRPr="000D717A" w:rsidRDefault="00B022AA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0D717A">
              <w:rPr>
                <w:b/>
                <w:color w:val="000000" w:themeColor="text1"/>
                <w:sz w:val="20"/>
                <w:szCs w:val="20"/>
                <w:lang w:val="sr-Cyrl-BA"/>
              </w:rPr>
              <w:t>Посебна напомена за предмет:</w:t>
            </w:r>
            <w:r w:rsidRPr="000D717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Додатне информације о предмету се могу наћи и на </w:t>
            </w:r>
            <w:r w:rsidRPr="000D717A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A561DB" w:rsidRPr="000D717A">
              <w:rPr>
                <w:b/>
                <w:color w:val="000000" w:themeColor="text1"/>
                <w:sz w:val="20"/>
                <w:szCs w:val="20"/>
              </w:rPr>
              <w:t>еб</w:t>
            </w:r>
            <w:r w:rsidRPr="000D717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0D717A">
              <w:rPr>
                <w:b/>
                <w:color w:val="000000" w:themeColor="text1"/>
                <w:sz w:val="20"/>
                <w:szCs w:val="20"/>
                <w:lang w:val="sr-Latn-CS"/>
              </w:rPr>
              <w:t xml:space="preserve">: </w:t>
            </w:r>
            <w:hyperlink r:id="rId6" w:history="1">
              <w:r w:rsidRPr="000D717A">
                <w:rPr>
                  <w:rStyle w:val="Hyperlink"/>
                  <w:b/>
                  <w:color w:val="000000" w:themeColor="text1"/>
                  <w:sz w:val="20"/>
                  <w:szCs w:val="20"/>
                  <w:lang w:val="sr-Latn-CS"/>
                </w:rPr>
                <w:t>www</w:t>
              </w:r>
              <w:r w:rsidRPr="000D717A">
                <w:rPr>
                  <w:rStyle w:val="Hyperlink"/>
                  <w:b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="00A561DB" w:rsidRPr="000D717A">
                <w:rPr>
                  <w:rStyle w:val="Hyperlink"/>
                  <w:b/>
                  <w:color w:val="000000" w:themeColor="text1"/>
                  <w:sz w:val="20"/>
                  <w:szCs w:val="20"/>
                  <w:lang w:val="bs-Latn-BA"/>
                </w:rPr>
                <w:t>mf</w:t>
              </w:r>
              <w:r w:rsidRPr="000D717A">
                <w:rPr>
                  <w:rStyle w:val="Hyperlink"/>
                  <w:b/>
                  <w:color w:val="000000" w:themeColor="text1"/>
                  <w:sz w:val="20"/>
                  <w:szCs w:val="20"/>
                  <w:lang w:val="bs-Latn-BA"/>
                </w:rPr>
                <w:t>-</w:t>
              </w:r>
              <w:r w:rsidR="00A561DB" w:rsidRPr="000D717A">
                <w:rPr>
                  <w:rStyle w:val="Hyperlink"/>
                  <w:b/>
                  <w:color w:val="000000" w:themeColor="text1"/>
                  <w:sz w:val="20"/>
                  <w:szCs w:val="20"/>
                  <w:lang w:val="bs-Latn-BA"/>
                </w:rPr>
                <w:t>foca</w:t>
              </w:r>
              <w:r w:rsidRPr="000D717A">
                <w:rPr>
                  <w:rStyle w:val="Hyperlink"/>
                  <w:b/>
                  <w:color w:val="000000" w:themeColor="text1"/>
                  <w:sz w:val="20"/>
                  <w:szCs w:val="20"/>
                  <w:lang w:val="bs-Latn-BA"/>
                </w:rPr>
                <w:t>.</w:t>
              </w:r>
              <w:r w:rsidR="00A561DB" w:rsidRPr="000D717A">
                <w:rPr>
                  <w:rStyle w:val="Hyperlink"/>
                  <w:b/>
                  <w:color w:val="000000" w:themeColor="text1"/>
                  <w:sz w:val="20"/>
                  <w:szCs w:val="20"/>
                  <w:lang w:val="bs-Latn-BA"/>
                </w:rPr>
                <w:t>com</w:t>
              </w:r>
            </w:hyperlink>
          </w:p>
        </w:tc>
      </w:tr>
    </w:tbl>
    <w:p w:rsidR="006403C3" w:rsidRPr="000D717A" w:rsidRDefault="006403C3">
      <w:pPr>
        <w:rPr>
          <w:color w:val="000000" w:themeColor="text1"/>
        </w:rPr>
      </w:pPr>
    </w:p>
    <w:sectPr w:rsidR="006403C3" w:rsidRPr="000D717A" w:rsidSect="006403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69"/>
    <w:multiLevelType w:val="hybridMultilevel"/>
    <w:tmpl w:val="F4C60BA2"/>
    <w:lvl w:ilvl="0" w:tplc="A9D4CAB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D7763EE"/>
    <w:multiLevelType w:val="hybridMultilevel"/>
    <w:tmpl w:val="ACEE9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67330"/>
    <w:multiLevelType w:val="hybridMultilevel"/>
    <w:tmpl w:val="ACEE9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AA"/>
    <w:rsid w:val="00035D22"/>
    <w:rsid w:val="00055461"/>
    <w:rsid w:val="000A7D15"/>
    <w:rsid w:val="000D717A"/>
    <w:rsid w:val="00111B85"/>
    <w:rsid w:val="00146445"/>
    <w:rsid w:val="00172FA2"/>
    <w:rsid w:val="001A15A3"/>
    <w:rsid w:val="001C7204"/>
    <w:rsid w:val="003057C6"/>
    <w:rsid w:val="0033146E"/>
    <w:rsid w:val="00410907"/>
    <w:rsid w:val="004D27AB"/>
    <w:rsid w:val="005459BA"/>
    <w:rsid w:val="005D50E0"/>
    <w:rsid w:val="006403C3"/>
    <w:rsid w:val="00672643"/>
    <w:rsid w:val="0068062B"/>
    <w:rsid w:val="006A603A"/>
    <w:rsid w:val="007C57E0"/>
    <w:rsid w:val="0082040B"/>
    <w:rsid w:val="008739C3"/>
    <w:rsid w:val="008B2CEF"/>
    <w:rsid w:val="00927B57"/>
    <w:rsid w:val="00934FF8"/>
    <w:rsid w:val="00983B34"/>
    <w:rsid w:val="00983F2B"/>
    <w:rsid w:val="00984E12"/>
    <w:rsid w:val="00996314"/>
    <w:rsid w:val="009D2784"/>
    <w:rsid w:val="00A256A9"/>
    <w:rsid w:val="00A561DB"/>
    <w:rsid w:val="00A619E1"/>
    <w:rsid w:val="00B022AA"/>
    <w:rsid w:val="00B6119E"/>
    <w:rsid w:val="00B86FA9"/>
    <w:rsid w:val="00C11A76"/>
    <w:rsid w:val="00C6124E"/>
    <w:rsid w:val="00C70023"/>
    <w:rsid w:val="00CA7E93"/>
    <w:rsid w:val="00E24CCB"/>
    <w:rsid w:val="00EC1D04"/>
    <w:rsid w:val="00ED2F37"/>
    <w:rsid w:val="00EE0C69"/>
    <w:rsid w:val="00EF79EF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B022AA"/>
    <w:rPr>
      <w:color w:val="0000FF"/>
      <w:u w:val="single"/>
    </w:rPr>
  </w:style>
  <w:style w:type="paragraph" w:styleId="BodyText">
    <w:name w:val="Body Text"/>
    <w:basedOn w:val="Normal"/>
    <w:link w:val="BodyTextChar"/>
    <w:rsid w:val="00B022AA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B022AA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B022AA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B022AA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B022AA"/>
    <w:rPr>
      <w:color w:val="0000FF"/>
      <w:u w:val="single"/>
    </w:rPr>
  </w:style>
  <w:style w:type="paragraph" w:styleId="BodyText">
    <w:name w:val="Body Text"/>
    <w:basedOn w:val="Normal"/>
    <w:link w:val="BodyTextChar"/>
    <w:rsid w:val="00B022AA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B022AA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B022AA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B022AA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f-foc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IM</cp:lastModifiedBy>
  <cp:revision>3</cp:revision>
  <dcterms:created xsi:type="dcterms:W3CDTF">2021-01-07T01:43:00Z</dcterms:created>
  <dcterms:modified xsi:type="dcterms:W3CDTF">2021-02-24T00:34:00Z</dcterms:modified>
</cp:coreProperties>
</file>