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431"/>
        <w:gridCol w:w="135"/>
        <w:gridCol w:w="1530"/>
        <w:gridCol w:w="6"/>
        <w:gridCol w:w="70"/>
        <w:gridCol w:w="527"/>
        <w:gridCol w:w="387"/>
        <w:gridCol w:w="990"/>
        <w:gridCol w:w="179"/>
        <w:gridCol w:w="541"/>
        <w:gridCol w:w="12"/>
        <w:gridCol w:w="297"/>
        <w:gridCol w:w="321"/>
        <w:gridCol w:w="360"/>
        <w:gridCol w:w="14"/>
        <w:gridCol w:w="1294"/>
      </w:tblGrid>
      <w:tr w:rsidR="00E653BF" w:rsidRPr="00D103F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653BF" w:rsidRPr="00D103FD" w:rsidRDefault="00E65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103FD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E653BF" w:rsidRPr="00D103FD" w:rsidRDefault="00E653BF" w:rsidP="00FF68B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103FD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:rsidR="00E653BF" w:rsidRPr="00D103FD" w:rsidRDefault="00EF4D3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>
                  <wp:extent cx="775335" cy="731520"/>
                  <wp:effectExtent l="0" t="0" r="0" b="0"/>
                  <wp:docPr id="1" name="Picture 1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3BF" w:rsidRPr="00D103F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653BF" w:rsidRPr="00D103FD" w:rsidRDefault="00E653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D103FD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стоматологија</w:t>
            </w:r>
          </w:p>
        </w:tc>
        <w:tc>
          <w:tcPr>
            <w:tcW w:w="2286" w:type="dxa"/>
            <w:gridSpan w:val="5"/>
            <w:vMerge/>
            <w:vAlign w:val="center"/>
          </w:tcPr>
          <w:p w:rsidR="00E653BF" w:rsidRPr="00D103FD" w:rsidRDefault="00E653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103F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103F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103FD" w:rsidRDefault="00E653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академске 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103FD" w:rsidRDefault="00BE5F7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D103F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103F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103F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7"/>
            <w:vAlign w:val="center"/>
          </w:tcPr>
          <w:p w:rsidR="00AF6F4F" w:rsidRPr="00D103FD" w:rsidRDefault="00BE5F7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ХЕМИЈА</w:t>
            </w:r>
            <w:r w:rsidR="002959FB" w:rsidRPr="00D103FD">
              <w:rPr>
                <w:rFonts w:ascii="Arial Narrow" w:hAnsi="Arial Narrow"/>
                <w:sz w:val="20"/>
                <w:szCs w:val="20"/>
                <w:lang w:val="en-US"/>
              </w:rPr>
              <w:t xml:space="preserve"> У МЕДИЦИНИ</w:t>
            </w:r>
          </w:p>
        </w:tc>
      </w:tr>
      <w:tr w:rsidR="00DF29EF" w:rsidRPr="00D103F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103FD" w:rsidRDefault="00DF29EF" w:rsidP="00AF0A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D103FD" w:rsidRDefault="00F01046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 прет</w:t>
            </w:r>
            <w:r w:rsidR="00610D84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клиничке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предмете, Медицински факултет Фоча</w:t>
            </w:r>
          </w:p>
        </w:tc>
      </w:tr>
      <w:tr w:rsidR="007A7335" w:rsidRPr="00D103FD" w:rsidTr="00592CFD">
        <w:trPr>
          <w:trHeight w:val="229"/>
        </w:trPr>
        <w:tc>
          <w:tcPr>
            <w:tcW w:w="2943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103F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103FD" w:rsidTr="00592CFD">
        <w:trPr>
          <w:trHeight w:val="229"/>
        </w:trPr>
        <w:tc>
          <w:tcPr>
            <w:tcW w:w="2943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103F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103FD" w:rsidTr="00592CFD">
        <w:tc>
          <w:tcPr>
            <w:tcW w:w="2943" w:type="dxa"/>
            <w:gridSpan w:val="5"/>
            <w:shd w:val="clear" w:color="auto" w:fill="auto"/>
            <w:vAlign w:val="center"/>
          </w:tcPr>
          <w:p w:rsidR="007A7335" w:rsidRPr="00D103FD" w:rsidRDefault="00CF4766" w:rsidP="004A63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/>
                <w:sz w:val="20"/>
                <w:szCs w:val="20"/>
              </w:rPr>
              <w:t>СТ-04-2-010-2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103FD" w:rsidRDefault="00CA247A" w:rsidP="004A63C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1129B1" w:rsidRPr="00D103FD">
              <w:rPr>
                <w:rFonts w:ascii="Arial Narrow" w:hAnsi="Arial Narrow" w:cs="Times New Roman"/>
                <w:sz w:val="20"/>
                <w:szCs w:val="20"/>
                <w:lang w:val="en-US"/>
              </w:rPr>
              <w:t>зборни</w:t>
            </w:r>
          </w:p>
        </w:tc>
        <w:tc>
          <w:tcPr>
            <w:tcW w:w="2109" w:type="dxa"/>
            <w:gridSpan w:val="5"/>
            <w:shd w:val="clear" w:color="auto" w:fill="auto"/>
            <w:vAlign w:val="center"/>
          </w:tcPr>
          <w:p w:rsidR="007A7335" w:rsidRPr="00D103FD" w:rsidRDefault="004A63C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</w:t>
            </w: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:rsidR="007A7335" w:rsidRPr="00D103FD" w:rsidRDefault="00CF4766" w:rsidP="00FC0946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DF29EF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103F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8"/>
            <w:vAlign w:val="center"/>
          </w:tcPr>
          <w:p w:rsidR="00DF29EF" w:rsidRPr="00D103FD" w:rsidRDefault="00D103FD" w:rsidP="00AE363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AE36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</w:t>
            </w:r>
            <w:r w:rsidR="004A63C7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AE36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Наташа Милић</w:t>
            </w:r>
            <w:r w:rsidR="00AE363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232822" w:rsidRPr="00D103FD">
              <w:rPr>
                <w:rFonts w:ascii="Arial Narrow" w:hAnsi="Arial Narrow" w:cs="Times New Roman"/>
                <w:sz w:val="20"/>
                <w:szCs w:val="20"/>
              </w:rPr>
              <w:t>ред</w:t>
            </w:r>
            <w:r w:rsidR="00AE363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ов</w:t>
            </w:r>
            <w:bookmarkStart w:id="0" w:name="_GoBack"/>
            <w:bookmarkEnd w:id="0"/>
            <w:r w:rsidR="00232822" w:rsidRPr="00D103FD">
              <w:rPr>
                <w:rFonts w:ascii="Arial Narrow" w:hAnsi="Arial Narrow" w:cs="Times New Roman"/>
                <w:sz w:val="20"/>
                <w:szCs w:val="20"/>
              </w:rPr>
              <w:t>ни професор</w:t>
            </w:r>
          </w:p>
        </w:tc>
      </w:tr>
      <w:tr w:rsidR="00DF29EF" w:rsidRPr="00D103F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103F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:rsidR="00DF29EF" w:rsidRPr="00D103FD" w:rsidRDefault="00DF29EF" w:rsidP="00803F0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3B5A99" w:rsidRPr="00D103FD" w:rsidTr="00E653BF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330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66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D103FD" w:rsidTr="00E653B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836" w:type="dxa"/>
            <w:gridSpan w:val="5"/>
            <w:shd w:val="clear" w:color="auto" w:fill="F2F2F2" w:themeFill="background1" w:themeFillShade="F2"/>
            <w:vAlign w:val="center"/>
          </w:tcPr>
          <w:p w:rsidR="003B5A99" w:rsidRPr="00D103FD" w:rsidRDefault="008A1C31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3B5A99" w:rsidRPr="00D103FD" w:rsidRDefault="008A1C31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990" w:type="dxa"/>
            <w:gridSpan w:val="4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350" w:type="dxa"/>
            <w:gridSpan w:val="5"/>
            <w:shd w:val="clear" w:color="auto" w:fill="F2F2F2" w:themeFill="background1" w:themeFillShade="F2"/>
            <w:vAlign w:val="center"/>
          </w:tcPr>
          <w:p w:rsidR="003B5A99" w:rsidRPr="00D103FD" w:rsidRDefault="008A1C31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668" w:type="dxa"/>
            <w:gridSpan w:val="3"/>
            <w:shd w:val="clear" w:color="auto" w:fill="F2F2F2" w:themeFill="background1" w:themeFillShade="F2"/>
            <w:vAlign w:val="center"/>
          </w:tcPr>
          <w:p w:rsidR="003B5A99" w:rsidRPr="00D103FD" w:rsidRDefault="003B5A99" w:rsidP="00AF0AD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103F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D103FD" w:rsidTr="00E653BF">
        <w:tc>
          <w:tcPr>
            <w:tcW w:w="1242" w:type="dxa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:rsidR="003B5A99" w:rsidRPr="00D103FD" w:rsidRDefault="00610D84" w:rsidP="00610D8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B5A99" w:rsidRPr="00D103FD" w:rsidRDefault="00610D84" w:rsidP="00610D8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5"/>
            <w:shd w:val="clear" w:color="auto" w:fill="auto"/>
            <w:vAlign w:val="center"/>
          </w:tcPr>
          <w:p w:rsidR="003B5A99" w:rsidRPr="00D103FD" w:rsidRDefault="00610D84" w:rsidP="00610D8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 w:rsidR="003B5A99" w:rsidRPr="00D103FD" w:rsidRDefault="00610D84" w:rsidP="00AF0A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E653BF" w:rsidRPr="00D103F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653BF" w:rsidRPr="00D103FD" w:rsidRDefault="00E653BF" w:rsidP="00E653BF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0*15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3BF" w:rsidRPr="00D103FD" w:rsidRDefault="00E653BF" w:rsidP="00FF68B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653BF" w:rsidRPr="00D103FD" w:rsidRDefault="00E653BF" w:rsidP="00E653BF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103F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D103FD" w:rsidTr="00592CFD"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103FD" w:rsidRDefault="008A1C31" w:rsidP="002959F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</w:t>
            </w:r>
            <w:r w:rsidR="000D44FE" w:rsidRPr="00D103F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="00610D84"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)</w:t>
            </w:r>
            <w:r w:rsidR="00CA247A"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:</w:t>
            </w:r>
            <w:r w:rsidR="00610D84" w:rsidRPr="00D103F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15+15= 30</w:t>
            </w:r>
            <w:r w:rsidR="00CA247A" w:rsidRPr="00D103F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E653BF" w:rsidRPr="00D103FD">
              <w:rPr>
                <w:rFonts w:ascii="Arial Narrow" w:eastAsia="Calibri" w:hAnsi="Arial Narrow"/>
                <w:sz w:val="20"/>
                <w:szCs w:val="20"/>
              </w:rPr>
              <w:t xml:space="preserve">сати </w:t>
            </w:r>
            <w:r w:rsidR="00CA247A" w:rsidRPr="00D103FD">
              <w:rPr>
                <w:rFonts w:ascii="Arial Narrow" w:eastAsia="Calibri" w:hAnsi="Arial Narrow"/>
                <w:sz w:val="20"/>
                <w:szCs w:val="20"/>
              </w:rPr>
              <w:t>семестрално</w:t>
            </w:r>
          </w:p>
        </w:tc>
      </w:tr>
      <w:tr w:rsidR="008A1C31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ED09D9" w:rsidP="00ED09D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разумевање хемијских појмова и хемијских реакција представља основу за праћење наставног процеса хемије,односно плана и програма из биохемије</w:t>
            </w:r>
            <w:r w:rsidRPr="00D103FD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52424F" w:rsidP="005242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условљености </w:t>
            </w:r>
          </w:p>
        </w:tc>
      </w:tr>
      <w:tr w:rsidR="008A1C31" w:rsidRPr="00D103F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ED09D9" w:rsidP="00ED09D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</w:p>
        </w:tc>
      </w:tr>
      <w:tr w:rsidR="008A1C31" w:rsidRPr="00D103F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8"/>
            <w:tcBorders>
              <w:bottom w:val="single" w:sz="4" w:space="0" w:color="auto"/>
            </w:tcBorders>
            <w:vAlign w:val="center"/>
          </w:tcPr>
          <w:p w:rsidR="00E653BF" w:rsidRPr="00D103FD" w:rsidRDefault="00E653BF" w:rsidP="00E653B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Прдавања:</w:t>
            </w:r>
          </w:p>
          <w:p w:rsidR="00CB148F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Хемијске везе и типови. Мећумолекулске везе, Вендервалсове везе. Водоничн авеза и њена важност за билошки важна једињења. Комплексна једињења: структура комплекса и њихов бихемијски значај......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Водени раствори. Рствоти електолита и неелектролита. Класификација раствора. Колоидни раствори. Осмоза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Хемијске реакције врсте. Основа термодинаичких промена  при реакцијам у живим системима. Закони термодинамике. 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Оксидо-редукција. Биолошки редокс системи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Хемијска кинетика: хомогени и хетериогени системи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Енергија ативације. Катализатори</w:t>
            </w:r>
          </w:p>
          <w:p w:rsidR="003310F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Хемија слободних радикала</w:t>
            </w:r>
          </w:p>
          <w:p w:rsidR="00ED09D9" w:rsidRPr="00D103FD" w:rsidRDefault="00ED09D9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Хемијска равнотежа. Електолити: јаки и слаби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Пуфери дефиниција и механиѕам деловања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Угљововици: Подела иѕомери и подела иѕомера.</w:t>
            </w:r>
          </w:p>
          <w:p w:rsidR="001129B1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Ароматски и хетероциклични угљоводоници.......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CS"/>
              </w:rPr>
              <w:t>Полимери и  полимериѕација.. Тиоли Полиоли; гликол и глицерин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Једињења са алдехидном и кето групом. Угљенихидрати</w:t>
            </w:r>
            <w:r w:rsidR="003310F9" w:rsidRPr="00D103FD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</w:p>
          <w:p w:rsidR="003310F9" w:rsidRPr="00D103FD" w:rsidRDefault="001129B1" w:rsidP="003310F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Масне киселине дефиниција и подела</w:t>
            </w:r>
          </w:p>
          <w:p w:rsidR="008A1C31" w:rsidRPr="00D103FD" w:rsidRDefault="001129B1" w:rsidP="001129B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/>
                <w:sz w:val="20"/>
                <w:szCs w:val="20"/>
                <w:lang w:val="sr-Cyrl-BA"/>
              </w:rPr>
              <w:t>Амино киселине и подела. Пептидна веза и протеини. Подела и структура протеина. Примарна, секундарна терцијарна и квартерна...</w:t>
            </w:r>
          </w:p>
        </w:tc>
      </w:tr>
      <w:tr w:rsidR="008A1C31" w:rsidRPr="00D103FD" w:rsidTr="00592CFD">
        <w:tc>
          <w:tcPr>
            <w:tcW w:w="9606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03FD" w:rsidRDefault="00AF0ADC" w:rsidP="00AF0A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Ј. Куљанин Јаковљевић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103FD" w:rsidRDefault="00AF0AD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Хемијски практикум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D103FD" w:rsidRDefault="00AF0AD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03FD" w:rsidTr="00592CFD">
        <w:tc>
          <w:tcPr>
            <w:tcW w:w="9606" w:type="dxa"/>
            <w:gridSpan w:val="20"/>
            <w:shd w:val="clear" w:color="auto" w:fill="D9D9D9" w:themeFill="background1" w:themeFillShade="D9"/>
            <w:vAlign w:val="center"/>
          </w:tcPr>
          <w:p w:rsidR="008A1C31" w:rsidRPr="00D103F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AF0AD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03F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4"/>
            <w:shd w:val="clear" w:color="auto" w:fill="auto"/>
            <w:vAlign w:val="center"/>
          </w:tcPr>
          <w:p w:rsidR="008A1C31" w:rsidRPr="00D103F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103F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D103F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4"/>
            <w:shd w:val="clear" w:color="auto" w:fill="D9D9D9" w:themeFill="background1" w:themeFillShade="D9"/>
            <w:vAlign w:val="center"/>
          </w:tcPr>
          <w:p w:rsidR="008A1C31" w:rsidRPr="00D103F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103F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D103FD" w:rsidRDefault="00AF0ADC" w:rsidP="00E653B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653BF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</w:t>
            </w:r>
            <w:r w:rsidR="00E653BF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присуство предавањима /</w:t>
            </w:r>
            <w:r w:rsidR="008A1C31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вјежбама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4"/>
            <w:vAlign w:val="center"/>
          </w:tcPr>
          <w:p w:rsidR="008A1C31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610D84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E653BF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653BF" w:rsidRPr="00D103FD" w:rsidRDefault="00E653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E653BF" w:rsidRPr="00D103FD" w:rsidRDefault="00E653BF" w:rsidP="00AF0A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4"/>
            <w:vAlign w:val="center"/>
          </w:tcPr>
          <w:p w:rsidR="00E653BF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E653BF" w:rsidRPr="00D103FD" w:rsidRDefault="00E653BF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D103F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10D84" w:rsidRPr="00D103FD" w:rsidTr="00610D84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10D84" w:rsidRPr="00D103FD" w:rsidRDefault="00610D8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10D84" w:rsidRPr="00D103FD" w:rsidRDefault="00610D84" w:rsidP="00610D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</w:t>
            </w:r>
            <w:r w:rsidR="00CA247A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</w:t>
            </w:r>
            <w:r w:rsid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</w:t>
            </w:r>
            <w:r w:rsidR="00CA247A"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ест                                                                                                 </w:t>
            </w:r>
          </w:p>
        </w:tc>
        <w:tc>
          <w:tcPr>
            <w:tcW w:w="990" w:type="dxa"/>
            <w:gridSpan w:val="4"/>
            <w:vAlign w:val="center"/>
          </w:tcPr>
          <w:p w:rsidR="00610D84" w:rsidRPr="00D103FD" w:rsidRDefault="00610D84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  <w:vAlign w:val="center"/>
          </w:tcPr>
          <w:p w:rsidR="00610D84" w:rsidRPr="00D103FD" w:rsidRDefault="00610D84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D103FD" w:rsidTr="00CA247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103F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103F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04" w:type="dxa"/>
            <w:gridSpan w:val="5"/>
            <w:tcBorders>
              <w:bottom w:val="single" w:sz="4" w:space="0" w:color="auto"/>
            </w:tcBorders>
            <w:vAlign w:val="center"/>
          </w:tcPr>
          <w:p w:rsidR="008A1C31" w:rsidRPr="00D103FD" w:rsidRDefault="008A1C31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D103FD" w:rsidRDefault="008A1C31" w:rsidP="00E653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D103F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103F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8"/>
            <w:vAlign w:val="center"/>
          </w:tcPr>
          <w:p w:rsidR="008A1C31" w:rsidRPr="00D103FD" w:rsidRDefault="00E653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103F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180" w:rsidRDefault="00942180" w:rsidP="00662C2A">
      <w:pPr>
        <w:spacing w:after="0" w:line="240" w:lineRule="auto"/>
      </w:pPr>
      <w:r>
        <w:separator/>
      </w:r>
    </w:p>
  </w:endnote>
  <w:endnote w:type="continuationSeparator" w:id="0">
    <w:p w:rsidR="00942180" w:rsidRDefault="0094218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DC" w:rsidRDefault="00AF0ADC">
    <w:pPr>
      <w:pStyle w:val="Footer"/>
      <w:jc w:val="right"/>
    </w:pPr>
  </w:p>
  <w:p w:rsidR="00AF0ADC" w:rsidRDefault="00AF0A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180" w:rsidRDefault="00942180" w:rsidP="00662C2A">
      <w:pPr>
        <w:spacing w:after="0" w:line="240" w:lineRule="auto"/>
      </w:pPr>
      <w:r>
        <w:separator/>
      </w:r>
    </w:p>
  </w:footnote>
  <w:footnote w:type="continuationSeparator" w:id="0">
    <w:p w:rsidR="00942180" w:rsidRDefault="00942180" w:rsidP="00662C2A">
      <w:pPr>
        <w:spacing w:after="0" w:line="240" w:lineRule="auto"/>
      </w:pPr>
      <w:r>
        <w:continuationSeparator/>
      </w:r>
    </w:p>
  </w:footnote>
  <w:footnote w:id="1">
    <w:p w:rsidR="00AF0ADC" w:rsidRPr="00ED59F8" w:rsidRDefault="00AF0ADC" w:rsidP="00AF0AD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F0ADC" w:rsidRPr="00BB3616" w:rsidRDefault="00AF0ADC" w:rsidP="00AF0AD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F0ADC" w:rsidRPr="00564658" w:rsidRDefault="00AF0ADC" w:rsidP="00AF0AD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E1498"/>
    <w:multiLevelType w:val="hybridMultilevel"/>
    <w:tmpl w:val="FB84BDF8"/>
    <w:lvl w:ilvl="0" w:tplc="4B2AFB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05EE1"/>
    <w:multiLevelType w:val="hybridMultilevel"/>
    <w:tmpl w:val="EB908D7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3DCA"/>
    <w:rsid w:val="00045978"/>
    <w:rsid w:val="00060A17"/>
    <w:rsid w:val="000716BD"/>
    <w:rsid w:val="00073BE8"/>
    <w:rsid w:val="00074759"/>
    <w:rsid w:val="000C15F2"/>
    <w:rsid w:val="000C20EE"/>
    <w:rsid w:val="000C4C55"/>
    <w:rsid w:val="000D44FE"/>
    <w:rsid w:val="000E6CA4"/>
    <w:rsid w:val="001129B1"/>
    <w:rsid w:val="00142472"/>
    <w:rsid w:val="00157956"/>
    <w:rsid w:val="00191E6E"/>
    <w:rsid w:val="001953A4"/>
    <w:rsid w:val="001B6A8D"/>
    <w:rsid w:val="001E27BB"/>
    <w:rsid w:val="00232822"/>
    <w:rsid w:val="002833F0"/>
    <w:rsid w:val="002959FB"/>
    <w:rsid w:val="002B0879"/>
    <w:rsid w:val="002E1901"/>
    <w:rsid w:val="002F62C7"/>
    <w:rsid w:val="00322925"/>
    <w:rsid w:val="003310F9"/>
    <w:rsid w:val="00355B14"/>
    <w:rsid w:val="0037103D"/>
    <w:rsid w:val="003848E7"/>
    <w:rsid w:val="003A52B9"/>
    <w:rsid w:val="003B1A86"/>
    <w:rsid w:val="003B5A99"/>
    <w:rsid w:val="003C5656"/>
    <w:rsid w:val="00421F85"/>
    <w:rsid w:val="0043206D"/>
    <w:rsid w:val="00446201"/>
    <w:rsid w:val="004601FF"/>
    <w:rsid w:val="00485A62"/>
    <w:rsid w:val="004A63C7"/>
    <w:rsid w:val="00516918"/>
    <w:rsid w:val="0052424F"/>
    <w:rsid w:val="0053245D"/>
    <w:rsid w:val="00545329"/>
    <w:rsid w:val="00550AD9"/>
    <w:rsid w:val="00564658"/>
    <w:rsid w:val="00581BDB"/>
    <w:rsid w:val="00592CFD"/>
    <w:rsid w:val="005976C9"/>
    <w:rsid w:val="005B5014"/>
    <w:rsid w:val="005C77B7"/>
    <w:rsid w:val="00610D84"/>
    <w:rsid w:val="00620598"/>
    <w:rsid w:val="00621E22"/>
    <w:rsid w:val="00662C2A"/>
    <w:rsid w:val="00686EE2"/>
    <w:rsid w:val="00687855"/>
    <w:rsid w:val="00696562"/>
    <w:rsid w:val="006F0D88"/>
    <w:rsid w:val="00707181"/>
    <w:rsid w:val="00720EA3"/>
    <w:rsid w:val="00727088"/>
    <w:rsid w:val="00727EF2"/>
    <w:rsid w:val="00741E90"/>
    <w:rsid w:val="00755794"/>
    <w:rsid w:val="00790604"/>
    <w:rsid w:val="007A7335"/>
    <w:rsid w:val="007D4D9B"/>
    <w:rsid w:val="00803F0A"/>
    <w:rsid w:val="00817290"/>
    <w:rsid w:val="00834BB9"/>
    <w:rsid w:val="00854F4C"/>
    <w:rsid w:val="00855547"/>
    <w:rsid w:val="0087010D"/>
    <w:rsid w:val="008A1C31"/>
    <w:rsid w:val="008A5AAE"/>
    <w:rsid w:val="008C03DD"/>
    <w:rsid w:val="008D5263"/>
    <w:rsid w:val="008E6F9C"/>
    <w:rsid w:val="008F54FF"/>
    <w:rsid w:val="00942180"/>
    <w:rsid w:val="00953D0B"/>
    <w:rsid w:val="00964A76"/>
    <w:rsid w:val="009C12A9"/>
    <w:rsid w:val="009C6099"/>
    <w:rsid w:val="009C7E06"/>
    <w:rsid w:val="00A05E6A"/>
    <w:rsid w:val="00A255BB"/>
    <w:rsid w:val="00A45AB1"/>
    <w:rsid w:val="00A6669B"/>
    <w:rsid w:val="00A66D07"/>
    <w:rsid w:val="00A8544E"/>
    <w:rsid w:val="00A96387"/>
    <w:rsid w:val="00AC1498"/>
    <w:rsid w:val="00AC3B4B"/>
    <w:rsid w:val="00AD6782"/>
    <w:rsid w:val="00AE363D"/>
    <w:rsid w:val="00AF0ADC"/>
    <w:rsid w:val="00AF6F4F"/>
    <w:rsid w:val="00B27FCB"/>
    <w:rsid w:val="00B36B65"/>
    <w:rsid w:val="00B41027"/>
    <w:rsid w:val="00B732CF"/>
    <w:rsid w:val="00B73BF7"/>
    <w:rsid w:val="00B73D94"/>
    <w:rsid w:val="00B91E28"/>
    <w:rsid w:val="00B93FA8"/>
    <w:rsid w:val="00B94753"/>
    <w:rsid w:val="00BA6490"/>
    <w:rsid w:val="00BB3616"/>
    <w:rsid w:val="00BE5F7F"/>
    <w:rsid w:val="00BF1F09"/>
    <w:rsid w:val="00C0304A"/>
    <w:rsid w:val="00C36E2B"/>
    <w:rsid w:val="00C85CCF"/>
    <w:rsid w:val="00C93003"/>
    <w:rsid w:val="00CA247A"/>
    <w:rsid w:val="00CB148F"/>
    <w:rsid w:val="00CB3299"/>
    <w:rsid w:val="00CB7036"/>
    <w:rsid w:val="00CC6752"/>
    <w:rsid w:val="00CC7446"/>
    <w:rsid w:val="00CD1242"/>
    <w:rsid w:val="00CF4766"/>
    <w:rsid w:val="00D103FD"/>
    <w:rsid w:val="00D4285C"/>
    <w:rsid w:val="00D86FF0"/>
    <w:rsid w:val="00D93B3E"/>
    <w:rsid w:val="00DC452B"/>
    <w:rsid w:val="00DD3141"/>
    <w:rsid w:val="00DF29EF"/>
    <w:rsid w:val="00E15632"/>
    <w:rsid w:val="00E26F92"/>
    <w:rsid w:val="00E50261"/>
    <w:rsid w:val="00E5702E"/>
    <w:rsid w:val="00E579B5"/>
    <w:rsid w:val="00E653BF"/>
    <w:rsid w:val="00E72E4F"/>
    <w:rsid w:val="00E77298"/>
    <w:rsid w:val="00ED09D9"/>
    <w:rsid w:val="00ED59F8"/>
    <w:rsid w:val="00EF4D38"/>
    <w:rsid w:val="00F01046"/>
    <w:rsid w:val="00FB039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CB148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B148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CB148F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B148F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FE3A9AE-7B55-485D-829A-E8063DF8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2016-10-05T09:37:00Z</dcterms:created>
  <dcterms:modified xsi:type="dcterms:W3CDTF">2021-02-28T15:55:00Z</dcterms:modified>
</cp:coreProperties>
</file>