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174"/>
        <w:gridCol w:w="282"/>
        <w:gridCol w:w="141"/>
        <w:gridCol w:w="1134"/>
        <w:gridCol w:w="422"/>
        <w:gridCol w:w="553"/>
        <w:gridCol w:w="297"/>
        <w:gridCol w:w="695"/>
        <w:gridCol w:w="1294"/>
      </w:tblGrid>
      <w:tr w:rsidR="00D4071D" w:rsidRPr="00D4071D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0E8E413" wp14:editId="6182A503">
                  <wp:extent cx="742950" cy="74295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3CB182C3" wp14:editId="00F23B00">
                  <wp:simplePos x="0" y="0"/>
                  <wp:positionH relativeFrom="margin">
                    <wp:posOffset>267970</wp:posOffset>
                  </wp:positionH>
                  <wp:positionV relativeFrom="paragraph">
                    <wp:posOffset>17145</wp:posOffset>
                  </wp:positionV>
                  <wp:extent cx="775335" cy="731520"/>
                  <wp:effectExtent l="0" t="0" r="5715" b="0"/>
                  <wp:wrapNone/>
                  <wp:docPr id="5" name="Picture 5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4071D" w:rsidRPr="00D4071D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071D" w:rsidRPr="00D4071D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40" w:type="dxa"/>
            <w:gridSpan w:val="6"/>
            <w:tcBorders>
              <w:bottom w:val="single" w:sz="4" w:space="0" w:color="auto"/>
            </w:tcBorders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/>
                <w:sz w:val="20"/>
                <w:szCs w:val="20"/>
              </w:rPr>
              <w:t>Интегрисан</w:t>
            </w:r>
            <w:r w:rsidRPr="00D4071D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еакадемске </w:t>
            </w:r>
            <w:r w:rsidRPr="00D4071D">
              <w:rPr>
                <w:rFonts w:ascii="Arial Narrow" w:hAnsi="Arial Narrow"/>
                <w:sz w:val="20"/>
                <w:szCs w:val="20"/>
              </w:rPr>
              <w:t>студиj</w:t>
            </w:r>
            <w:r w:rsidRPr="00D4071D">
              <w:rPr>
                <w:rFonts w:ascii="Arial Narrow" w:hAnsi="Arial Narrow"/>
                <w:sz w:val="20"/>
                <w:szCs w:val="20"/>
                <w:lang w:val="bs-Cyrl-BA"/>
              </w:rPr>
              <w:t>е</w:t>
            </w:r>
          </w:p>
        </w:tc>
        <w:tc>
          <w:tcPr>
            <w:tcW w:w="2532" w:type="dxa"/>
            <w:gridSpan w:val="5"/>
            <w:tcBorders>
              <w:bottom w:val="single" w:sz="4" w:space="0" w:color="auto"/>
            </w:tcBorders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III</w:t>
            </w:r>
            <w:r w:rsidRPr="00D4071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</w:t>
            </w: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071D" w:rsidRPr="00D4071D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</w:rPr>
              <w:t>ХИРУРГИЈА</w:t>
            </w:r>
          </w:p>
        </w:tc>
      </w:tr>
      <w:tr w:rsidR="00D4071D" w:rsidRPr="00D4071D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Pr="00D4071D">
              <w:rPr>
                <w:rFonts w:ascii="Arial Narrow" w:hAnsi="Arial Narrow" w:cs="Times New Roman"/>
                <w:sz w:val="20"/>
                <w:szCs w:val="20"/>
              </w:rPr>
              <w:t>хируршке гране, Медицински факултет Фоч</w:t>
            </w:r>
            <w:r w:rsidRPr="00D4071D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D4071D" w:rsidRPr="00D4071D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D4071D" w:rsidRPr="00D4071D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4071D" w:rsidRPr="00D4071D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СТ-04-1-026-5; СТ-04-1-026-6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V, VI 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</w:t>
            </w:r>
          </w:p>
        </w:tc>
      </w:tr>
      <w:tr w:rsidR="00D4071D" w:rsidRPr="00D4071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4071D" w:rsidRPr="00D4071D" w:rsidRDefault="00D4071D" w:rsidP="00D4071D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Вељко Марић, </w:t>
            </w:r>
            <w:r w:rsidRPr="00D4071D">
              <w:rPr>
                <w:rFonts w:ascii="Arial Narrow" w:hAnsi="Arial Narrow"/>
                <w:sz w:val="20"/>
                <w:szCs w:val="20"/>
                <w:lang w:val="sr-Cyrl-CS"/>
              </w:rPr>
              <w:t>Проф. др Зоран Радовановић</w:t>
            </w:r>
            <w:r w:rsidRPr="00D4071D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 xml:space="preserve">, </w:t>
            </w:r>
            <w:r w:rsidRPr="00D4071D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др Владимир Банчевић, </w:t>
            </w:r>
            <w:r w:rsidRPr="00D4071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др Сања Марић, Проф. др Радмил Марић, Проф. др Вјеран Саратлић,  Проф. др Миливоје Достић,  Проф. др Синиша Којић, </w:t>
            </w:r>
            <w:r w:rsidRPr="00D4071D">
              <w:rPr>
                <w:rFonts w:ascii="Arial Narrow" w:hAnsi="Arial Narrow"/>
                <w:sz w:val="20"/>
                <w:szCs w:val="20"/>
                <w:lang w:val="sr-Cyrl-CS"/>
              </w:rPr>
              <w:t>Проф</w:t>
            </w:r>
            <w:r w:rsidRPr="00D4071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. др Максим Ковачевић,  Доц. др Милорад Бијеловић, </w:t>
            </w:r>
            <w:r w:rsidRPr="00D4071D">
              <w:rPr>
                <w:rFonts w:ascii="Arial Narrow" w:hAnsi="Arial Narrow"/>
                <w:sz w:val="20"/>
                <w:szCs w:val="20"/>
              </w:rPr>
              <w:t>Доц.</w:t>
            </w:r>
            <w:r w:rsidRPr="00D4071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др Ненад Лаловић,   </w:t>
            </w:r>
          </w:p>
        </w:tc>
      </w:tr>
      <w:tr w:rsidR="00D4071D" w:rsidRPr="00D4071D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D4071D">
              <w:rPr>
                <w:rFonts w:ascii="Arial Narrow" w:hAnsi="Arial Narrow"/>
                <w:sz w:val="20"/>
                <w:szCs w:val="20"/>
                <w:lang w:val="sr-Cyrl-BA"/>
              </w:rPr>
              <w:t>Виши асист.  др Раде Милетић, Виши асист. др Далибор Потпара</w:t>
            </w:r>
            <w:r w:rsidRPr="00D4071D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Pr="00D4071D">
              <w:rPr>
                <w:rFonts w:ascii="Arial Narrow" w:hAnsi="Arial Narrow"/>
                <w:sz w:val="20"/>
                <w:szCs w:val="20"/>
                <w:lang w:val="sr-Cyrl-CS"/>
              </w:rPr>
              <w:t>Виши асист.</w:t>
            </w:r>
            <w:r w:rsidRPr="00D4071D">
              <w:rPr>
                <w:rFonts w:ascii="Arial Narrow" w:hAnsi="Arial Narrow"/>
                <w:sz w:val="20"/>
                <w:szCs w:val="20"/>
                <w:lang w:val="sr-Cyrl-BA"/>
              </w:rPr>
              <w:t>др Ђорђе Вељовић, Виши асист.др Вања Старовић, Виши асист.др Хелана Кујунџић Марић, Асист.др Велибор Симетић,  Виши асист. др Сенка Милић, др Зоран Шаренац-клинички сарадник.</w:t>
            </w:r>
          </w:p>
        </w:tc>
      </w:tr>
      <w:tr w:rsidR="00D4071D" w:rsidRPr="00D4071D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4071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4071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4071D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D4071D" w:rsidRPr="00D4071D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4071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4071D" w:rsidRPr="00D4071D" w:rsidTr="001553E7">
        <w:tc>
          <w:tcPr>
            <w:tcW w:w="1242" w:type="dxa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D4071D" w:rsidRPr="00D4071D" w:rsidTr="001553E7">
        <w:tc>
          <w:tcPr>
            <w:tcW w:w="1242" w:type="dxa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D4071D" w:rsidRPr="00D4071D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D4071D" w:rsidRPr="00D4071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90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+9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4071D">
              <w:rPr>
                <w:rFonts w:ascii="Arial Narrow" w:eastAsia="Calibri" w:hAnsi="Arial Narrow"/>
                <w:sz w:val="20"/>
                <w:szCs w:val="20"/>
              </w:rPr>
              <w:t>180</w:t>
            </w:r>
            <w:r w:rsidRPr="00D407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</w:p>
        </w:tc>
      </w:tr>
      <w:tr w:rsidR="00D4071D" w:rsidRPr="00D4071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4071D" w:rsidRPr="00D4071D" w:rsidRDefault="00D4071D" w:rsidP="00D407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D4071D">
              <w:rPr>
                <w:rFonts w:ascii="Arial Narrow" w:hAnsi="Arial Narrow" w:cs="–1óPˇ"/>
                <w:sz w:val="20"/>
                <w:szCs w:val="20"/>
              </w:rPr>
              <w:t xml:space="preserve">Студент треба да овлада основним комуникационим вјештинама са </w:t>
            </w:r>
            <w:r w:rsidRPr="00D4071D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пацијентима, родбином пацијената </w:t>
            </w:r>
            <w:r w:rsidRPr="00D4071D">
              <w:rPr>
                <w:rFonts w:ascii="Arial Narrow" w:hAnsi="Arial Narrow" w:cs="–1óPˇ"/>
                <w:sz w:val="20"/>
                <w:szCs w:val="20"/>
              </w:rPr>
              <w:t>и колегама,</w:t>
            </w:r>
            <w:r w:rsidRPr="00D4071D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начелима</w:t>
            </w:r>
            <w:r w:rsidRPr="00D4071D">
              <w:rPr>
                <w:rFonts w:ascii="Arial Narrow" w:hAnsi="Arial Narrow" w:cs="–1óPˇ"/>
                <w:sz w:val="20"/>
                <w:szCs w:val="20"/>
              </w:rPr>
              <w:t>тимско</w:t>
            </w:r>
            <w:r w:rsidRPr="00D4071D">
              <w:rPr>
                <w:rFonts w:ascii="Arial Narrow" w:hAnsi="Arial Narrow" w:cs="–1óPˇ"/>
                <w:sz w:val="20"/>
                <w:szCs w:val="20"/>
                <w:lang w:val="sr-Cyrl-CS"/>
              </w:rPr>
              <w:t>г</w:t>
            </w:r>
            <w:r w:rsidRPr="00D4071D">
              <w:rPr>
                <w:rFonts w:ascii="Arial Narrow" w:hAnsi="Arial Narrow" w:cs="–1óPˇ"/>
                <w:sz w:val="20"/>
                <w:szCs w:val="20"/>
              </w:rPr>
              <w:t xml:space="preserve"> рад</w:t>
            </w:r>
            <w:r w:rsidRPr="00D4071D">
              <w:rPr>
                <w:rFonts w:ascii="Arial Narrow" w:hAnsi="Arial Narrow" w:cs="–1óPˇ"/>
                <w:sz w:val="20"/>
                <w:szCs w:val="20"/>
                <w:lang w:val="sr-Cyrl-CS"/>
              </w:rPr>
              <w:t>а</w:t>
            </w:r>
            <w:r w:rsidRPr="00D4071D">
              <w:rPr>
                <w:rFonts w:ascii="Arial Narrow" w:hAnsi="Arial Narrow" w:cs="–1óPˇ"/>
                <w:sz w:val="20"/>
                <w:szCs w:val="20"/>
              </w:rPr>
              <w:t>, основама етичности</w:t>
            </w:r>
            <w:r w:rsidRPr="00D4071D">
              <w:rPr>
                <w:rFonts w:ascii="Arial Narrow" w:hAnsi="Arial Narrow" w:cs="–1óPˇ"/>
                <w:sz w:val="20"/>
                <w:szCs w:val="20"/>
                <w:lang w:val="sr-Cyrl-CS"/>
              </w:rPr>
              <w:t>.</w:t>
            </w:r>
          </w:p>
          <w:p w:rsidR="00D4071D" w:rsidRPr="00D4071D" w:rsidRDefault="00D4071D" w:rsidP="00D4071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D4071D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2.Студент треба да овлада  </w:t>
            </w:r>
            <w:r w:rsidRPr="00D4071D">
              <w:rPr>
                <w:rFonts w:ascii="Arial Narrow" w:hAnsi="Arial Narrow" w:cs="–1óPˇ"/>
                <w:sz w:val="20"/>
                <w:szCs w:val="20"/>
              </w:rPr>
              <w:t>специфичностима узимања анамнезе</w:t>
            </w:r>
            <w:r w:rsidRPr="00D4071D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и</w:t>
            </w:r>
            <w:r w:rsidRPr="00D4071D">
              <w:rPr>
                <w:rFonts w:ascii="Arial Narrow" w:hAnsi="Arial Narrow" w:cs="–1óPˇ"/>
                <w:sz w:val="20"/>
                <w:szCs w:val="20"/>
              </w:rPr>
              <w:t xml:space="preserve"> физикалног прегледа хируршког болесника</w:t>
            </w:r>
          </w:p>
          <w:p w:rsidR="00D4071D" w:rsidRPr="00D4071D" w:rsidRDefault="00D4071D" w:rsidP="00D4071D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D4071D">
              <w:rPr>
                <w:rFonts w:ascii="Arial Narrow" w:hAnsi="Arial Narrow" w:cs="–1óPˇ"/>
                <w:sz w:val="20"/>
                <w:szCs w:val="20"/>
              </w:rPr>
              <w:t xml:space="preserve"> Токомпохађањанаставестудентистичусванеопходназнањаизобластипатогенезе, клиничкеслике терапијеболести и стања</w:t>
            </w:r>
            <w:r w:rsidRPr="00D4071D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адултне популације из свих области Хирургије</w:t>
            </w:r>
          </w:p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D4071D">
              <w:rPr>
                <w:rFonts w:ascii="Arial Narrow" w:hAnsi="Arial Narrow" w:cs="–1óPˇ"/>
                <w:sz w:val="20"/>
                <w:szCs w:val="20"/>
                <w:lang w:val="sr-Cyrl-CS"/>
              </w:rPr>
              <w:t>Током похађа</w:t>
            </w:r>
            <w:r w:rsidRPr="00D4071D">
              <w:rPr>
                <w:rFonts w:ascii="Arial Narrow" w:hAnsi="Arial Narrow" w:cs="–1óPˇ"/>
                <w:sz w:val="20"/>
                <w:szCs w:val="20"/>
              </w:rPr>
              <w:t>њ</w:t>
            </w:r>
            <w:r w:rsidRPr="00D4071D">
              <w:rPr>
                <w:rFonts w:ascii="Arial Narrow" w:hAnsi="Arial Narrow" w:cs="–1óPˇ"/>
                <w:sz w:val="20"/>
                <w:szCs w:val="20"/>
                <w:lang w:val="sr-Cyrl-CS"/>
              </w:rPr>
              <w:t>а практичног дјела  студент овладава клиничким вјештинама из свих области хирургије,прегледом пацијената, дијагностичким и диференцијално дијагностичким процедурама, акутном збрињаванју повријеђених пацијената и других акутних хируршких станја.</w:t>
            </w:r>
          </w:p>
        </w:tc>
      </w:tr>
      <w:tr w:rsidR="00D4071D" w:rsidRPr="00D4071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D4071D"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 w:rsidRPr="00D4071D">
              <w:rPr>
                <w:rFonts w:ascii="Arial Narrow" w:hAnsi="Arial Narrow"/>
                <w:sz w:val="20"/>
                <w:szCs w:val="20"/>
              </w:rPr>
              <w:t>:положени сви испити друге године</w:t>
            </w:r>
          </w:p>
        </w:tc>
      </w:tr>
      <w:tr w:rsidR="00D4071D" w:rsidRPr="00D4071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практичне вјежбе, ПБЛ сесије, рад на фантомима, прикази случајева, семинари, коришћење софтвера за симулације,  консултације </w:t>
            </w:r>
          </w:p>
        </w:tc>
      </w:tr>
      <w:tr w:rsidR="00D4071D" w:rsidRPr="00D4071D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tbl>
            <w:tblPr>
              <w:tblpPr w:leftFromText="180" w:rightFromText="180" w:vertAnchor="text" w:horzAnchor="margin" w:tblpXSpec="center" w:tblpY="-59"/>
              <w:tblW w:w="7604" w:type="dxa"/>
              <w:tblCellSpacing w:w="15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62"/>
              <w:gridCol w:w="30"/>
              <w:gridCol w:w="6835"/>
              <w:gridCol w:w="30"/>
              <w:gridCol w:w="347"/>
            </w:tblGrid>
            <w:tr w:rsidR="00D4071D" w:rsidRPr="00D4071D" w:rsidTr="001553E7">
              <w:trPr>
                <w:trHeight w:val="51"/>
                <w:tblHeader/>
                <w:tblCellSpacing w:w="15" w:type="dxa"/>
              </w:trPr>
              <w:tc>
                <w:tcPr>
                  <w:tcW w:w="0" w:type="auto"/>
                  <w:gridSpan w:val="5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>ПРОГРАМ ТЕОРИЈСКЕ НАСТАВЕ</w:t>
                  </w:r>
                </w:p>
              </w:tc>
            </w:tr>
            <w:tr w:rsidR="00D4071D" w:rsidRPr="00D4071D" w:rsidTr="001553E7">
              <w:trPr>
                <w:trHeight w:val="174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УВОДНА ПРЕДАВАЊА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Анамнеза.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Физикални преглед болесника. Лабораторијске методе. Тумачење лабораторијских налаза.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Ендоскопске методе  у хирургији. ЕХО.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Радиодијагностика.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 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                                           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  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Доц др Ненад Лаловић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84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2.</w:t>
                  </w:r>
                </w:p>
              </w:tc>
              <w:tc>
                <w:tcPr>
                  <w:tcW w:w="6798" w:type="dxa"/>
                  <w:tcBorders>
                    <w:top w:val="nil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 МЕТОДЕ ХИРУРШКЕ  ПРОФИЛАКСЕ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Значај и суштина методе асепсе и антисепсе. Приручне методе стерилизације. Стандардне методе стерилизације. Брзе методе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стерилизације.Савремене технолошке методе стерилизације. Понашање у операционој сали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 xml:space="preserve">   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 xml:space="preserve"> Доц др Ненад Лаловић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188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lastRenderedPageBreak/>
                    <w:t>3.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КАРДИОПУЛМОНАЛАНА РЕАНИМАЦИЈА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Општи појмови и дефиниција. Кардиопулмонална и церабрална реанимација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>,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основни  ниво и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>II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степен реанимације.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 xml:space="preserve"> др Миливоје Достић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 xml:space="preserve">               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6" w:space="0" w:color="000000"/>
                    <w:right w:val="single" w:sz="12" w:space="0" w:color="auto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216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4.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 ШОК И ТРАНСФУЗИЈА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Историјат и значај појма.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Патофизиологија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,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подјела, клиничка слика. Основне смјернице у терапији. Шок и сепса. Компоненте и деривати крви 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Индикације и контраиндикације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трансфузије. Поступак љекара при трансфузији.   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Проф.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>др Миливоје Достић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BA"/>
                    </w:rPr>
                    <w:t xml:space="preserve">                                                                         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159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5.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КРВАРЕЊЕ И ХЕМОСТАЗА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Подјела, клиничка слика.Одговор организма на крвављење. Системски узроци крвављења.Дијагностика и лијечење крвављења. Методе хемостазе: привремене и трајне. Методе хемостазе: провизоме и стандардне. Упоредна ефикасност појединих метода са посебним освртом на улогу констрикционих повески.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</w:rPr>
                    <w:t xml:space="preserve">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 xml:space="preserve">                                                        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 xml:space="preserve"> др Миливоје Достић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6" w:space="0" w:color="000000"/>
                    <w:right w:val="single" w:sz="12" w:space="0" w:color="auto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246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6.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 ПРЕОПЕРАТИВНА ПРИПРЕМА  И  ПОСТОПЕРАТИВНО  ЛИЈЕЧЕЊЕ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Преоперативна процјена. Преоперативна припрема. АСА скор. Методе предикције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исхода операције. Интраоперативно лијечење. Постоперативни ток . Постоперативна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терапија.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Постоперативне компликације.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Сања Марић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174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7.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АНЕСТЕЗИЈА И АНАЛГЕЗИЈА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Појмови, историјат анестезије. Врсте опште анестезије. Општа инхалациона,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интравенска анестезија. Интраоперативни мониторинг. Локална и регионална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анестезија. Бол, дефиниција.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Лијечење бола уопште.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  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spacing w:after="0" w:line="240" w:lineRule="auto"/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en-US"/>
                    </w:rPr>
                  </w:pPr>
                  <w:r w:rsidRPr="00D4071D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     </w:t>
                  </w:r>
                  <w:r w:rsidRPr="00D4071D">
                    <w:rPr>
                      <w:rFonts w:ascii="Arial Narrow" w:eastAsia="Times New Roman" w:hAnsi="Arial Narrow" w:cs="Times New Roman"/>
                      <w:b/>
                      <w:sz w:val="20"/>
                      <w:szCs w:val="20"/>
                      <w:u w:val="single"/>
                      <w:lang w:val="sr-Cyrl-BA"/>
                    </w:rPr>
                    <w:t xml:space="preserve">Проф. др Сања Марић                             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174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8.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ХИРУРШКЕ ИНФЕКЦИЈЕ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Подјела, препознавање, превенција и терапија. Хируршка инфекција и сепса.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Анаеробне инфекције. Гасна гангрена.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Флегмона, Синергистичка гангрена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Антибиотици у хирургији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Вељко Марић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130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9.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ХИРУРШКА РАНА И ПОВРЕДЕ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Хирур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ш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ка рана. Процјена ране и хируршко збрињавање. Начини зарастања рана и фазе зарастања. Хроничне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ране.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Повреде – подјела. Механичке повреде. Краш и бласт синдром                                                                                                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Вељко Марић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145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10.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ВАСКУЛАРНА ХИРУРГИЈА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Обољења периферних артерија (емболија и акутна артеријска тромбоза,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аортоилијачна оклузивна болест). Бирегерова болест. Дијабетесно стопало. Анеуризма абдоминалне аорте и илијачних артерија. Артеријско венске фистуле. Обољења венског и лимфног система (варикозне вене и венски улкуси, тромбофлебитис површних вена, тромбоза дубоких вена) 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         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Проф.  др Радмил Марић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145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11. 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КАРДИОВАСКУЛАРНА ХИРРУГИЈА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Обољења срца и великих крвних судова. Урођене и стечене срчане мане: коарктација аорте, вентрикуларни и атријални дефект, митрална стеноза, атеноза аортне валвуле).  Перикардитис и тампонада срца. Трансплантација срца. Повреде срца и крвних судова. 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Проф.  др Радмил Марић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1 </w:t>
                  </w:r>
                </w:p>
              </w:tc>
            </w:tr>
            <w:tr w:rsidR="00D4071D" w:rsidRPr="00D4071D" w:rsidTr="001553E7">
              <w:trPr>
                <w:trHeight w:val="50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12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ГРУДНА ХИРУРГИЈА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Обољења плеуре (плеурална ефузија, емпијем плеуре).Тумори плеуре.Тумори плућа. Апсцес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плућа. Плућна емболија.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Доц  д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>р Милорад Бијеловић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tabs>
                      <w:tab w:val="left" w:pos="258"/>
                      <w:tab w:val="center" w:pos="336"/>
                    </w:tabs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left" w:pos="258"/>
                      <w:tab w:val="center" w:pos="336"/>
                    </w:tabs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left" w:pos="258"/>
                      <w:tab w:val="center" w:pos="336"/>
                    </w:tabs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1</w:t>
                  </w:r>
                </w:p>
              </w:tc>
            </w:tr>
            <w:tr w:rsidR="00D4071D" w:rsidRPr="00D4071D" w:rsidTr="001553E7">
              <w:trPr>
                <w:trHeight w:val="174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3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single" w:sz="6" w:space="0" w:color="000000"/>
                    <w:bottom w:val="nil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ГРУДНА ХИРУРГИЈА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Повреде зида грудног коша, плућа,органа медијастинума и дијафрагме. Пнеумоторакс и хематоторакс. Масовни торакални капак. Урођени деформитети зида грудног коша.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Доц  д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</w:rPr>
                    <w:t xml:space="preserve">р Милорад Бијеловић 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</w:t>
                  </w: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159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left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4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АБДОМИНАЛНА ХИРУРГИЈА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Малигне и бенигне болести једњака, желуца, танког и дебелог цријева. 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 др  Вељко Марић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6" w:space="0" w:color="000000"/>
                    <w:right w:val="single" w:sz="12" w:space="0" w:color="auto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133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5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 АБДОМИНАЛНА ХИРУРГИЈА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 xml:space="preserve">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 xml:space="preserve"> П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овреде трбушног зида, једњака, желуца, танког и дебелог цријева.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 xml:space="preserve">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 др Вељко Марић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</w:t>
                  </w:r>
                </w:p>
              </w:tc>
            </w:tr>
            <w:tr w:rsidR="00D4071D" w:rsidRPr="00D4071D" w:rsidTr="001553E7">
              <w:trPr>
                <w:trHeight w:val="209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16.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АБДОМИНАЛНА ХИРУРГИЈА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Акутни абдомен. Илеус – подјела, патофизиологија, дијагностика и лијечење. Перитонитиси. Интрабадоминални апсцеси. Киле трбушног зида. Инфекције предњег трбушног зида, дезмоидни тумори. Хирургија ретроперитонеума (крварење,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инфекција, фиброза и тумори).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Вељко Марић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209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17.</w:t>
                  </w:r>
                </w:p>
              </w:tc>
              <w:tc>
                <w:tcPr>
                  <w:tcW w:w="6798" w:type="dxa"/>
                  <w:tcBorders>
                    <w:top w:val="single" w:sz="4" w:space="0" w:color="auto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АБДОМИНАЛНА ХИРУРГИЈА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Лабораторијске и биохемијске анализе, радиолошке методе у дијагностици обољења хепатобилијарног система. Малигне и бенигне болести јетре, жучне кесе и жучних путева. Повреде јетре,жучних путева и жучне кесе. Малигни и бенигни тумори панкреаса. Акутни и хронични панкреатитис. Псеудоцисте панкреаса. Повреде панкреаса и слезине.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Проф. др Дејан Иванов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center"/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348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18.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ОНКОЛОШКА И ЕНДОКРИНА ХИРУРГИЈА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en-US"/>
                    </w:rPr>
                  </w:pPr>
                </w:p>
                <w:p w:rsidR="00D4071D" w:rsidRPr="00D4071D" w:rsidRDefault="00D4071D" w:rsidP="00D4071D">
                  <w:pPr>
                    <w:spacing w:after="0" w:line="240" w:lineRule="auto"/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Биологија тумора.Стадијуми малигне болести. Путеви ширења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Општи хируршки принципи у лијечењу.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Карцином дојке – клиничка слика, дијагностика и лијечење.</w:t>
                  </w:r>
                </w:p>
                <w:p w:rsidR="00D4071D" w:rsidRPr="00D4071D" w:rsidRDefault="00D4071D" w:rsidP="00D4071D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Штитњача: анатомија и развојне аномалије. Дијагностика обољења. Струма и солитами нодуси. Хипертиреоизам, хипотиреоизам, тиреоидитиси. Бенигни тумори и </w:t>
                  </w:r>
                </w:p>
                <w:p w:rsidR="00D4071D" w:rsidRPr="00D4071D" w:rsidRDefault="00D4071D" w:rsidP="00D4071D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малигни тумори  штитне жлијезде. Хипотиреоза.</w:t>
                  </w:r>
                </w:p>
                <w:p w:rsidR="00D4071D" w:rsidRPr="00D4071D" w:rsidRDefault="00D4071D" w:rsidP="00D4071D">
                  <w:pPr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Паратиреоидне жлијезде: хиперпаратиреоизам, хипопаратиреоизам. Малигне и бенигне болест коре и сржи надбубрежних жлијезда.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Зоран Радовановић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209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lastRenderedPageBreak/>
                    <w:t>19.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ДЈЕЧИЈА ХИРУРГИЈА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en-US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Акутни апендицитис у дјечијем узрасту. Инвагинације код дјеце и Мекелов дивертикулум. Пилоростеноза. Малротација и волвулус танког цријева. Некротични ентероколитис. Хиршпрунгова болест. Меконијални илеус. Конгенитални деформитети предњег трбушног зида. Везикоуретрални рефлукс. Крипторхизам. Акутни скротуму дјечијем узрасту. Вилмсов тумор.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Радоица Јокић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2</w:t>
                  </w:r>
                </w:p>
              </w:tc>
            </w:tr>
            <w:tr w:rsidR="00D4071D" w:rsidRPr="00D4071D" w:rsidTr="001553E7">
              <w:trPr>
                <w:trHeight w:val="209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20.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ОРТОПЕДИЈА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Дегенеративне болести коштано-зглобног система горњих и доњих екстремитета, карлице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и кичменог стуба.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Повреде коштано-зглобног система горњих и доњих екстремитета, карлице и кичменог стуба.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Максим Ковачевић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209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top w:val="single" w:sz="12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21.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 xml:space="preserve">НЕУРОХИРУРГИЈА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Дијагностичке процедуре у неурохирургији. Преломи лобање. Дифузна аксонска лезија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мозга. Епидурални, субдурални хематом и интрацеребрална трауматска крварења. Повреде кичмене мождине. Лезије периферних нерава. Тумори мозга. Исхемична и хеморагична цереброваскуларна болест. Хернијација интервертебралног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дискуса. Апсцес мозга.                                                                                                               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</w:t>
                  </w:r>
                </w:p>
                <w:p w:rsidR="00D4071D" w:rsidRPr="00D4071D" w:rsidRDefault="00D4071D" w:rsidP="00D4071D">
                  <w:pPr>
                    <w:tabs>
                      <w:tab w:val="left" w:pos="5139"/>
                    </w:tabs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 w:eastAsia="en-GB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 w:eastAsia="en-GB"/>
                    </w:rPr>
                    <w:t xml:space="preserve">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 w:eastAsia="en-GB"/>
                    </w:rPr>
                    <w:t>Проф. др Вјеран Саратлић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                                                                                      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209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22.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nil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ПЛАСТИЧНА ХИРУРГИЈА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Опекотине: локално лијечење, опште лијечење,  хируршко лијечење. Тангенцијале 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ексцизије, ауто, хомо, и хетеротрансплантација коже. Трансплантати коже, кожни,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мишићно-кожни и други режњеви. Тумори  коже, меланом.               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 xml:space="preserve"> 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Проф. др Синиша Којић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12" w:space="0" w:color="auto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</w:p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209"/>
                <w:tblHeader/>
                <w:tblCellSpacing w:w="15" w:type="dxa"/>
              </w:trPr>
              <w:tc>
                <w:tcPr>
                  <w:tcW w:w="0" w:type="auto"/>
                  <w:gridSpan w:val="2"/>
                  <w:tcBorders>
                    <w:bottom w:val="single" w:sz="12" w:space="0" w:color="auto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23.</w:t>
                  </w:r>
                </w:p>
              </w:tc>
              <w:tc>
                <w:tcPr>
                  <w:tcW w:w="6798" w:type="dxa"/>
                  <w:tcBorders>
                    <w:top w:val="single" w:sz="12" w:space="0" w:color="auto"/>
                    <w:left w:val="single" w:sz="6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 xml:space="preserve">УРОЛОГИЈА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Симптоматологија и дијагностика уролошких обољења. Специфичне и неспецифичне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инфекције уротракта. Калкулоза уротраакта. Тумори бубрега и уротелијума. Опструктивна уропатија. Повреде урогениталних органа. Бенигна хиперплазија простате. Карцином простате. Варикоцела, хидроцела и хематоцела. Ренална колика. Инконтиненција урина. </w:t>
                  </w: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  <w:p w:rsidR="00D4071D" w:rsidRPr="00D4071D" w:rsidRDefault="00D4071D" w:rsidP="00D4071D">
                  <w:pPr>
                    <w:tabs>
                      <w:tab w:val="center" w:pos="4513"/>
                      <w:tab w:val="right" w:pos="9026"/>
                    </w:tabs>
                    <w:spacing w:after="0" w:line="240" w:lineRule="auto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color w:val="FF0000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Проф. др Владимир Банчевић</w:t>
                  </w:r>
                  <w:r w:rsidRPr="00D4071D">
                    <w:rPr>
                      <w:rFonts w:ascii="Arial Narrow" w:hAnsi="Arial Narrow"/>
                      <w:b/>
                      <w:color w:val="FF0000"/>
                      <w:sz w:val="20"/>
                      <w:szCs w:val="20"/>
                      <w:lang w:val="sr-Cyrl-BA"/>
                    </w:rPr>
                    <w:t xml:space="preserve">   </w:t>
                  </w:r>
                </w:p>
              </w:tc>
              <w:tc>
                <w:tcPr>
                  <w:tcW w:w="337" w:type="dxa"/>
                  <w:gridSpan w:val="2"/>
                  <w:tcBorders>
                    <w:top w:val="single" w:sz="6" w:space="0" w:color="000000"/>
                    <w:left w:val="single" w:sz="6" w:space="0" w:color="000000"/>
                    <w:bottom w:val="single" w:sz="12" w:space="0" w:color="auto"/>
                  </w:tcBorders>
                  <w:shd w:val="clear" w:color="auto" w:fill="FFFFFF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1</w:t>
                  </w:r>
                </w:p>
              </w:tc>
            </w:tr>
            <w:tr w:rsidR="00D4071D" w:rsidRPr="00D4071D" w:rsidTr="001553E7">
              <w:trPr>
                <w:trHeight w:val="236"/>
                <w:tblHeader/>
                <w:tblCellSpacing w:w="15" w:type="dxa"/>
              </w:trPr>
              <w:tc>
                <w:tcPr>
                  <w:tcW w:w="7544" w:type="dxa"/>
                  <w:gridSpan w:val="5"/>
                  <w:tcBorders>
                    <w:top w:val="single" w:sz="4" w:space="0" w:color="auto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>ПРОГРАМ ПРАКТИЧНЕ НАСТАВЕ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Уводне вјежбе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: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анамнеза и статус болесника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>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Доц. др Ненад Лаловић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6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2.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Упознавање са методама стерилизације, рад са дезинфекционим средствима. Упознавање  са операционом салом и радом у операционој сали (показне вјежбе уз приказе случајева).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Вељко Марић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0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3.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Мјере кардиопулмоналне реанимације.                                                                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      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Сања Марић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01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lastRenderedPageBreak/>
                    <w:t>4.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Крварење и хемостаза.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CS"/>
                    </w:rPr>
                    <w:t xml:space="preserve"> 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Доц. др Миливоје Достић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FFFFFF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i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i/>
                      <w:sz w:val="20"/>
                      <w:szCs w:val="20"/>
                      <w:lang w:val="sr-Latn-BA"/>
                    </w:rPr>
                    <w:t>5.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Шок- превенција и терапија.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Асс. др Вања Старовић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0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6.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Преоперативна припрема и постоперативно лијечење пацијената (клинички прикази случајева, основни приципи рада у ЈИТ).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Асс. др Ђорђе Вељовић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92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7.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Основи анестезије и аналгезија.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Асс. др Ђорђе Вељовић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92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8.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Хируршке инфекције (клинички преглед уз приказе случајева, обрада хируршке ране са инфекцијом).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 Проф.др Вјеран Саратлић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92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9. 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Хируршка обрада ране (примарна и секундарна обрада хируршке ране, клинички преглед).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Асс. др Хелена Мраић К.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0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10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Трансфузија крви и крвних деривата.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Асс. др Сенка Милић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1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Основе клиничког прегледа васкуларног пацијента. Специфичности анамнезе и физикалног налаза. Методе привремене хемостазе: дигитална компресија, завој, тампонада ране, Есмархова повеска (клинички приказ пацијената). Клинички приказ пацијената са обољењима периферних артерија.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Радмил Марић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12.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Анамнеза и клинички преглед болесника са тромбофлебитисом и флеботромбозом. Основе третмана венског улкуса. Постављање еластичне бандаже. Третман лимфедема, мјере и поступци.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Преглед пацијената са анеуризмом абдоминалне аорте, иницијална дијагностика и прогноза (клинички приказ случајева).  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Latn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Асс. др Далибор Потпара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13.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Анамнеза,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ru-RU"/>
                    </w:rPr>
                    <w:t xml:space="preserve">физикални преглед пацијената са обољењем грудног коша. Тумачење радиографских и МСЦТ налаза грудног коша. Упознавање са током преоперативног испитивања и постоперативним опоравком и лијечењем торакохируршких пацијената.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Клинички приказ пацијената са пнеумотораксом. Поступак са торакалном дренажом.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>(Семинарски рад)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Доц. др Милорад Бијеловић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lastRenderedPageBreak/>
                    <w:t>14.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Клинички приказ пацијената са емпијемом плеуре, плеуралним изливом и апсцесом плућа. Дијагностички и терапијски алгоритам. Торакотомијски и ВАТС приступи у грудној хирургији.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Асс. др Велибор Симетић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15.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Клиничка обрада пацијената са типичном клиничком сликом дисфагије. Карцином једњака (клинички прикази случајева).            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Клиничка примјена дијагностичких тестова и радиолошких метода у дијагностици бенигних обољења дисталног једњака (хијаталне херније, гастроезофагеалне рефлуксне болести и ахалазије).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Клиничка презентација типичног некомпликованог улкуса желуца и дуоденума (клинички приказ случајева).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Асс. др Далибор Потпара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bs-Cyrl-BA"/>
                    </w:rPr>
                    <w:t>16.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Клинички приказ пацијената за оперативно лијечење са малигним туморима колона и ректума. Приказ основних дијагностичких процедура. Прика технике колоноскопије, уочавање типичних патолошких промјена и узимање узорка за биопсију. Значај различитих дијагностичких метода у интестиналној опструкцији и клиничка обрада.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Дигитална експлорација ректума. Преглед пацијената са хемоироидалном болешћу, перианалном фистулом и аналном фисуром.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Latn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Асс. др Далибор Потпара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thinThickSmallGap" w:sz="2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1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7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thinThickSmallGap" w:sz="24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Клиничка обрада пацијента са пнеумоперитонеумом. Препознавање и диференцирање водећих знакова перитонеалног надражаја. Клинички приказ комплетног дијагностичког и тераписјког поступка.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Клинички преглед препонског канала. Значај кличког прегледа у дијагностици препонских кила и кила предњег трбушног зида (клинички приказ случајева). Мануелна репозиција хернија – таксис.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                            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Асс. др Велибор Симетић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  <w:tc>
                <w:tcPr>
                  <w:tcW w:w="170" w:type="dxa"/>
                  <w:tcBorders>
                    <w:top w:val="thinThickSmallGap" w:sz="24" w:space="0" w:color="auto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1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8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Анализа дијагностичких метода у хепатобилијарној хирургији – практично извођење. 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Клиничка обрада пацијента са синдромом иктеруса (приказ клиничких случајева). Дијагностичке и терапијске процедуре. Клиничка обрада болесника са акутним панкреатитисом  и калкулозним холециститисом. 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Асс. др Раде Милетић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</w:rPr>
                  </w:pP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234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1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9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D4071D">
                    <w:rPr>
                      <w:rFonts w:ascii="Arial Narrow" w:eastAsia="Calibri" w:hAnsi="Arial Narrow"/>
                      <w:bCs/>
                      <w:sz w:val="20"/>
                      <w:szCs w:val="20"/>
                      <w:lang w:val="sr-Cyrl-CS"/>
                    </w:rPr>
                    <w:t>Основи клиничког прегледа  и специфичности анамнезе код болесника са раком дојке и избор дијагностичких процедура (мамографија, ЕХО, биопсија). Значај примарне контр</w:t>
                  </w:r>
                  <w:r w:rsidRPr="00D4071D">
                    <w:rPr>
                      <w:rFonts w:ascii="Arial Narrow" w:hAnsi="Arial Narrow"/>
                      <w:bCs/>
                      <w:sz w:val="20"/>
                      <w:szCs w:val="20"/>
                      <w:lang w:val="sr-Cyrl-CS"/>
                    </w:rPr>
                    <w:t xml:space="preserve">оле  и скрининга за рак дојке. Клинички преглед пацијената са обољењима штитасте жлијезде. </w:t>
                  </w:r>
                  <w:r w:rsidRPr="00D4071D">
                    <w:rPr>
                      <w:rFonts w:ascii="Arial Narrow" w:hAnsi="Arial Narrow"/>
                      <w:b/>
                      <w:bCs/>
                      <w:sz w:val="20"/>
                      <w:szCs w:val="20"/>
                      <w:lang w:val="sr-Cyrl-CS"/>
                    </w:rPr>
                    <w:t>(Семинарски рад)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Доц. др Ненад Лаловић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lastRenderedPageBreak/>
                    <w:t>20.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Анамнеза и  физикални преглед дјетета. Хитна стања у дјечијој хирургији – дијагноза и мјере збрињавања (хитна хируршка амбуланта).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ru-RU"/>
                    </w:rPr>
                    <w:t xml:space="preserve">Превијање рана, збрињавање опекотина, скидање конаца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ru-RU"/>
                    </w:rPr>
                    <w:t>(Семинарски рад).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ru-RU"/>
                    </w:rPr>
                    <w:t xml:space="preserve">  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ru-RU"/>
                    </w:rPr>
                    <w:t>Проф. Др Вељко Марић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1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Клинички тестови за провоцирање бола код акутног апендицитиса и клинички тестови за провоцирање бола код Мекеловог дивертикулума – практична презентација.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Асс. др Раде Милетић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22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Дијагностика ортопедских обољења. Принципи и методе лијечења у ортопедији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 xml:space="preserve">.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Остеомијелитиси. Гнојни и ТБЦ артритиси. (клинички приказ случајева).</w:t>
                  </w:r>
                </w:p>
                <w:p w:rsidR="00D4071D" w:rsidRPr="00D4071D" w:rsidRDefault="00D4071D" w:rsidP="00D4071D">
                  <w:pPr>
                    <w:spacing w:after="0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Дегенеративна обољења кука -  коксартроза. Асептична некроза кука. (клинички приказ случајева).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Максим Ковачевић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3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Преглед и дијагностика повреда горњих, доњих екстремитета екстремитета, карлице и кичменог стуба. Завоји, транспортна и гипсана имобилизација.Транспортна имобилизација повреде кичменог стуба. Повреде вратне кичме. Повреде тораколумбалне кичме.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(Семинарски рад)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Проф. др Никола Гаврић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4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Краниоцеребралне повреде.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>Клинички приказ случајева са контузијом главе и потресом мозга. Дијагностички и терапијски алгоритам. Клинички приказ пацијената са цервикалном и лумбалном радикулопатијом.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Проф. др Вјеран Саратлић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5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Цереброваскуларне болести (приказ клиничких случајева).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Клинички приказ пацијената са туморима  ЦНС-а. Дијагностички и терапијски алгоритам.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 xml:space="preserve"> Проф. др Вјеран Саратлић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6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Cyrl-CS"/>
                    </w:rPr>
                    <w:t xml:space="preserve">Патофизиологија опекотинског шока. Опекотине у дечијем узрасту. Одређивање дубине (степена) опекотине. 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Cyrl-CS"/>
                    </w:rPr>
                    <w:t>Одређивање површине опекотине (правило деветке и правило длана). Припрема за транспорт. Израчунавање потребне течности за надокнаду и распоред давања.</w:t>
                  </w:r>
                </w:p>
                <w:p w:rsidR="00D4071D" w:rsidRPr="00D4071D" w:rsidRDefault="00D4071D" w:rsidP="00D4071D">
                  <w:pPr>
                    <w:spacing w:after="0"/>
                    <w:jc w:val="both"/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Асс. др Хелена Мраић К.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7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Cyrl-CS"/>
                    </w:rPr>
                    <w:t>Декубитус. (приказ клиничких случајева) Трансплантати коже. Режњеви.  Реконструкције меких ткива. Меламом и други тумори коже. Дијагностички и терапијски алгоритми. Примјена дермоскопије у дијагностици тумора коже.(приказ клиничких случајева).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color w:val="000000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Асс. др Хелена Мраић К.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225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8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Уролошка анамнеза и преглед. Дигиторектални туше. Упознавање са уролошким дијагностичким процедурама: ултразвук, трансректални ултразвук, биопсија простате, уретроцистоскопија, уродинамика. Пласирање уринарног катетера.  Пласирање цистостомског катетера. Њега пацијента са  уринарним катетером и перкутаним нефростомским катетером.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lang w:val="sr-Cyrl-CS"/>
                    </w:rPr>
                    <w:t>(Семинарски рад)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Проф. др Владимир Банчевић 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lastRenderedPageBreak/>
                    <w:t>2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9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4" w:space="0" w:color="FFFFFF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Преглед спољних гениталија мушкарца: хидроцела, варикоцела, фимоза, парафимоза, хипо/еписпадије, кратак френулум, крипторкизам, ретенција тестиса... Тумачење  лабораторисјких налаза значајних за урологију (урин, уреа, креатинин, УК, ПСА, цитологија урина, спермограм, брисеви уретре)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. Клинички приказ 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пацијента са историјом уринарне калкулозе и обољењима простате.</w:t>
                  </w:r>
                </w:p>
                <w:p w:rsidR="00D4071D" w:rsidRPr="00D4071D" w:rsidRDefault="00D4071D" w:rsidP="00D4071D">
                  <w:pPr>
                    <w:jc w:val="both"/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 xml:space="preserve">  Др Зоран Шаренац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  <w:tr w:rsidR="00D4071D" w:rsidRPr="00D4071D" w:rsidTr="001553E7">
              <w:trPr>
                <w:trHeight w:val="116"/>
                <w:tblHeader/>
                <w:tblCellSpacing w:w="15" w:type="dxa"/>
              </w:trPr>
              <w:tc>
                <w:tcPr>
                  <w:tcW w:w="31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>30.</w:t>
                  </w:r>
                </w:p>
              </w:tc>
              <w:tc>
                <w:tcPr>
                  <w:tcW w:w="6995" w:type="dxa"/>
                  <w:gridSpan w:val="3"/>
                  <w:tcBorders>
                    <w:top w:val="single" w:sz="12" w:space="0" w:color="auto"/>
                    <w:left w:val="single" w:sz="4" w:space="0" w:color="000000"/>
                    <w:bottom w:val="single" w:sz="12" w:space="0" w:color="auto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rPr>
                      <w:rFonts w:ascii="Arial Narrow" w:hAnsi="Arial Narrow"/>
                      <w:sz w:val="20"/>
                      <w:szCs w:val="20"/>
                      <w:lang w:val="sr-Latn-BA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BA"/>
                    </w:rPr>
                    <w:t xml:space="preserve"> Тријажа пацијената и збињавање повријеђених у масовним несрећама.</w:t>
                  </w:r>
                </w:p>
                <w:p w:rsidR="00D4071D" w:rsidRPr="00D4071D" w:rsidRDefault="00D4071D" w:rsidP="00D4071D">
                  <w:pPr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  <w:lang w:val="sr-Cyrl-CS"/>
                    </w:rPr>
                    <w:t xml:space="preserve">                                                                                   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BA"/>
                    </w:rPr>
                    <w:t>Виши</w:t>
                  </w:r>
                  <w:r w:rsidRPr="00D4071D">
                    <w:rPr>
                      <w:rFonts w:ascii="Arial Narrow" w:hAnsi="Arial Narrow"/>
                      <w:sz w:val="20"/>
                      <w:szCs w:val="20"/>
                      <w:u w:val="single"/>
                      <w:lang w:val="sr-Cyrl-CS"/>
                    </w:rPr>
                    <w:t xml:space="preserve"> </w:t>
                  </w:r>
                  <w:r w:rsidRPr="00D4071D">
                    <w:rPr>
                      <w:rFonts w:ascii="Arial Narrow" w:hAnsi="Arial Narrow"/>
                      <w:b/>
                      <w:sz w:val="20"/>
                      <w:szCs w:val="20"/>
                      <w:u w:val="single"/>
                      <w:lang w:val="sr-Cyrl-CS"/>
                    </w:rPr>
                    <w:t>Асс. др Вања Старовић</w:t>
                  </w:r>
                </w:p>
              </w:tc>
              <w:tc>
                <w:tcPr>
                  <w:tcW w:w="1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</w:tcBorders>
                  <w:shd w:val="clear" w:color="auto" w:fill="FFFFFF"/>
                  <w:vAlign w:val="center"/>
                </w:tcPr>
                <w:p w:rsidR="00D4071D" w:rsidRPr="00D4071D" w:rsidRDefault="00D4071D" w:rsidP="00D4071D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</w:rPr>
                  </w:pPr>
                  <w:r w:rsidRPr="00D4071D">
                    <w:rPr>
                      <w:rFonts w:ascii="Arial Narrow" w:hAnsi="Arial Narrow"/>
                      <w:sz w:val="20"/>
                      <w:szCs w:val="20"/>
                    </w:rPr>
                    <w:t>2</w:t>
                  </w:r>
                </w:p>
              </w:tc>
            </w:tr>
          </w:tbl>
          <w:p w:rsidR="00D4071D" w:rsidRPr="00D4071D" w:rsidRDefault="00D4071D" w:rsidP="00D4071D">
            <w:pPr>
              <w:jc w:val="both"/>
              <w:rPr>
                <w:rFonts w:ascii="Arial Narrow" w:hAnsi="Arial Narrow"/>
                <w:sz w:val="20"/>
                <w:szCs w:val="20"/>
                <w:lang w:val="sr-Cyrl-CS"/>
              </w:rPr>
            </w:pPr>
          </w:p>
          <w:p w:rsidR="00D4071D" w:rsidRPr="00D4071D" w:rsidRDefault="00D4071D" w:rsidP="00D4071D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</w:tc>
      </w:tr>
      <w:tr w:rsidR="00D4071D" w:rsidRPr="00D4071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D4071D" w:rsidRPr="00D4071D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4071D" w:rsidRPr="00D4071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/>
                <w:sz w:val="20"/>
                <w:szCs w:val="20"/>
              </w:rPr>
              <w:t>Милан Вишњић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4071D" w:rsidRPr="00D4071D" w:rsidRDefault="00D4071D" w:rsidP="00D4071D">
            <w:pPr>
              <w:pBdr>
                <w:bottom w:val="single" w:sz="6" w:space="1" w:color="auto"/>
              </w:pBd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Хирургија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071D" w:rsidRPr="00D4071D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071D" w:rsidRPr="00D4071D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4071D" w:rsidRPr="00D4071D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4071D" w:rsidRPr="00D4071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071D" w:rsidRPr="00D4071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4071D" w:rsidRPr="00D4071D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4071D" w:rsidRPr="00D4071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4071D" w:rsidRPr="00D4071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4071D" w:rsidRPr="00D4071D" w:rsidRDefault="00D4071D" w:rsidP="00D407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колоквијум </w:t>
            </w:r>
          </w:p>
        </w:tc>
        <w:tc>
          <w:tcPr>
            <w:tcW w:w="992" w:type="dxa"/>
            <w:gridSpan w:val="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</w:t>
            </w:r>
          </w:p>
        </w:tc>
        <w:tc>
          <w:tcPr>
            <w:tcW w:w="1294" w:type="dxa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15%</w:t>
            </w:r>
          </w:p>
        </w:tc>
      </w:tr>
      <w:tr w:rsidR="00D4071D" w:rsidRPr="00D4071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4071D" w:rsidRPr="00D4071D" w:rsidRDefault="00D4071D" w:rsidP="00D407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семинари</w:t>
            </w:r>
          </w:p>
        </w:tc>
        <w:tc>
          <w:tcPr>
            <w:tcW w:w="992" w:type="dxa"/>
            <w:gridSpan w:val="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D4071D" w:rsidRPr="00D4071D" w:rsidTr="001553E7">
        <w:trPr>
          <w:trHeight w:val="80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4071D" w:rsidRPr="00D4071D" w:rsidRDefault="00D4071D" w:rsidP="00D407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присуство предавањима/ вјежбама </w:t>
            </w:r>
          </w:p>
        </w:tc>
        <w:tc>
          <w:tcPr>
            <w:tcW w:w="992" w:type="dxa"/>
            <w:gridSpan w:val="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D4071D" w:rsidRPr="00D4071D" w:rsidTr="001553E7">
        <w:trPr>
          <w:trHeight w:val="138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4071D" w:rsidRPr="00D4071D" w:rsidRDefault="00D4071D" w:rsidP="00D407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D4071D" w:rsidRPr="00D4071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4071D" w:rsidRPr="00D4071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4071D" w:rsidRPr="00D4071D" w:rsidRDefault="00D4071D" w:rsidP="00D407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практични </w:t>
            </w:r>
          </w:p>
        </w:tc>
        <w:tc>
          <w:tcPr>
            <w:tcW w:w="992" w:type="dxa"/>
            <w:gridSpan w:val="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D4071D" w:rsidRPr="00D4071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4071D" w:rsidRPr="00D4071D" w:rsidRDefault="00D4071D" w:rsidP="00D4071D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</w:t>
            </w:r>
          </w:p>
        </w:tc>
        <w:tc>
          <w:tcPr>
            <w:tcW w:w="1294" w:type="dxa"/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40%</w:t>
            </w:r>
          </w:p>
        </w:tc>
      </w:tr>
      <w:tr w:rsidR="00D4071D" w:rsidRPr="00D4071D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D4071D" w:rsidRPr="00D4071D" w:rsidRDefault="00D4071D" w:rsidP="00D4071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D4071D" w:rsidRPr="00D4071D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4071D" w:rsidRPr="00D4071D" w:rsidRDefault="00D4071D" w:rsidP="00D4071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407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D4071D" w:rsidRPr="002D47B8" w:rsidRDefault="00D4071D" w:rsidP="00D4071D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D4071D">
              <w:rPr>
                <w:rFonts w:ascii="Arial Narrow" w:hAnsi="Arial Narrow" w:cs="Times New Roman"/>
                <w:sz w:val="20"/>
                <w:szCs w:val="20"/>
              </w:rPr>
              <w:t>10.09.2020</w:t>
            </w:r>
            <w:r w:rsidR="002D47B8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.год</w:t>
            </w:r>
            <w:bookmarkStart w:id="0" w:name="_GoBack"/>
            <w:bookmarkEnd w:id="0"/>
          </w:p>
        </w:tc>
      </w:tr>
    </w:tbl>
    <w:p w:rsidR="00D4071D" w:rsidRPr="00D4071D" w:rsidRDefault="00D4071D" w:rsidP="00D4071D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E52B60" w:rsidRDefault="00D4071D" w:rsidP="00D4071D">
      <w:pPr>
        <w:rPr>
          <w:rFonts w:ascii="Arial Narrow" w:hAnsi="Arial Narrow" w:cs="Times New Roman"/>
          <w:sz w:val="18"/>
          <w:szCs w:val="20"/>
          <w:lang w:val="sr-Cyrl-BA"/>
        </w:rPr>
      </w:pPr>
      <w:r w:rsidRPr="00D4071D">
        <w:rPr>
          <w:rFonts w:ascii="Arial Narrow" w:hAnsi="Arial Narrow" w:cs="Times New Roman"/>
          <w:sz w:val="18"/>
          <w:szCs w:val="20"/>
          <w:lang w:val="sr-Cyrl-BA"/>
        </w:rPr>
        <w:t xml:space="preserve"> користећи опцију инсерт мод унијети онолико редова колико је потребно</w:t>
      </w:r>
    </w:p>
    <w:sectPr w:rsidR="00B36B65" w:rsidRPr="00E52B60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692" w:rsidRDefault="00754692" w:rsidP="00662C2A">
      <w:pPr>
        <w:spacing w:after="0" w:line="240" w:lineRule="auto"/>
      </w:pPr>
      <w:r>
        <w:separator/>
      </w:r>
    </w:p>
  </w:endnote>
  <w:endnote w:type="continuationSeparator" w:id="0">
    <w:p w:rsidR="00754692" w:rsidRDefault="0075469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AA6" w:rsidRDefault="000A1AA6">
    <w:pPr>
      <w:pStyle w:val="Footer"/>
      <w:jc w:val="right"/>
    </w:pPr>
  </w:p>
  <w:p w:rsidR="000A1AA6" w:rsidRDefault="000A1A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692" w:rsidRDefault="00754692" w:rsidP="00662C2A">
      <w:pPr>
        <w:spacing w:after="0" w:line="240" w:lineRule="auto"/>
      </w:pPr>
      <w:r>
        <w:separator/>
      </w:r>
    </w:p>
  </w:footnote>
  <w:footnote w:type="continuationSeparator" w:id="0">
    <w:p w:rsidR="00754692" w:rsidRDefault="00754692" w:rsidP="00662C2A">
      <w:pPr>
        <w:spacing w:after="0" w:line="240" w:lineRule="auto"/>
      </w:pPr>
      <w:r>
        <w:continuationSeparator/>
      </w:r>
    </w:p>
  </w:footnote>
  <w:footnote w:id="1">
    <w:p w:rsidR="00D4071D" w:rsidRPr="00ED59F8" w:rsidRDefault="00D4071D" w:rsidP="00D4071D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D4071D" w:rsidRPr="00BB3616" w:rsidRDefault="00D4071D" w:rsidP="00D4071D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D4071D" w:rsidRPr="00564658" w:rsidRDefault="00D4071D" w:rsidP="00D4071D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5B6"/>
    <w:multiLevelType w:val="hybridMultilevel"/>
    <w:tmpl w:val="314C76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CB037C"/>
    <w:multiLevelType w:val="hybridMultilevel"/>
    <w:tmpl w:val="FE7EC19C"/>
    <w:lvl w:ilvl="0" w:tplc="96B63D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75E23"/>
    <w:multiLevelType w:val="hybridMultilevel"/>
    <w:tmpl w:val="6644CDA2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26077"/>
    <w:multiLevelType w:val="hybridMultilevel"/>
    <w:tmpl w:val="7F16F36C"/>
    <w:lvl w:ilvl="0" w:tplc="559259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AF202E"/>
    <w:multiLevelType w:val="hybridMultilevel"/>
    <w:tmpl w:val="C98C7D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8D5BE7"/>
    <w:multiLevelType w:val="hybridMultilevel"/>
    <w:tmpl w:val="B2AE4C18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B4993"/>
    <w:multiLevelType w:val="hybridMultilevel"/>
    <w:tmpl w:val="86A636E2"/>
    <w:lvl w:ilvl="0" w:tplc="D8863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B7639"/>
    <w:multiLevelType w:val="hybridMultilevel"/>
    <w:tmpl w:val="D6CE1496"/>
    <w:lvl w:ilvl="0" w:tplc="41443216">
      <w:start w:val="1"/>
      <w:numFmt w:val="decimal"/>
      <w:lvlText w:val="%1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8">
    <w:nsid w:val="6E2E3D07"/>
    <w:multiLevelType w:val="hybridMultilevel"/>
    <w:tmpl w:val="314C76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4"/>
  </w:num>
  <w:num w:numId="8">
    <w:abstractNumId w:val="7"/>
  </w:num>
  <w:num w:numId="9">
    <w:abstractNumId w:val="8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3122B"/>
    <w:rsid w:val="00045978"/>
    <w:rsid w:val="00060A17"/>
    <w:rsid w:val="00073BE8"/>
    <w:rsid w:val="000963EC"/>
    <w:rsid w:val="000A1AA6"/>
    <w:rsid w:val="000C20EE"/>
    <w:rsid w:val="000C4C55"/>
    <w:rsid w:val="000C630F"/>
    <w:rsid w:val="000E6CA4"/>
    <w:rsid w:val="00123AFF"/>
    <w:rsid w:val="00131371"/>
    <w:rsid w:val="00136392"/>
    <w:rsid w:val="00142472"/>
    <w:rsid w:val="001457E7"/>
    <w:rsid w:val="00162CD0"/>
    <w:rsid w:val="001768C0"/>
    <w:rsid w:val="0018335D"/>
    <w:rsid w:val="00184810"/>
    <w:rsid w:val="00187D44"/>
    <w:rsid w:val="00191E6E"/>
    <w:rsid w:val="001B6A8D"/>
    <w:rsid w:val="001D511F"/>
    <w:rsid w:val="001E27BB"/>
    <w:rsid w:val="001F3045"/>
    <w:rsid w:val="002112BD"/>
    <w:rsid w:val="00224E62"/>
    <w:rsid w:val="0022767D"/>
    <w:rsid w:val="0025143F"/>
    <w:rsid w:val="00267842"/>
    <w:rsid w:val="002833F0"/>
    <w:rsid w:val="0029592E"/>
    <w:rsid w:val="00296B11"/>
    <w:rsid w:val="002B0879"/>
    <w:rsid w:val="002B4CED"/>
    <w:rsid w:val="002D47B8"/>
    <w:rsid w:val="002F5B7B"/>
    <w:rsid w:val="0031702E"/>
    <w:rsid w:val="00322925"/>
    <w:rsid w:val="003441C8"/>
    <w:rsid w:val="00355B14"/>
    <w:rsid w:val="003701EE"/>
    <w:rsid w:val="0037103D"/>
    <w:rsid w:val="003848E7"/>
    <w:rsid w:val="003A26DB"/>
    <w:rsid w:val="003A52B9"/>
    <w:rsid w:val="003B1A86"/>
    <w:rsid w:val="003B5A99"/>
    <w:rsid w:val="003F5C94"/>
    <w:rsid w:val="00413AF7"/>
    <w:rsid w:val="00421F85"/>
    <w:rsid w:val="0043206D"/>
    <w:rsid w:val="00437803"/>
    <w:rsid w:val="00446201"/>
    <w:rsid w:val="00454312"/>
    <w:rsid w:val="004601FF"/>
    <w:rsid w:val="004C33C6"/>
    <w:rsid w:val="004D000D"/>
    <w:rsid w:val="00501F32"/>
    <w:rsid w:val="00516918"/>
    <w:rsid w:val="00516B52"/>
    <w:rsid w:val="00545329"/>
    <w:rsid w:val="00550AD9"/>
    <w:rsid w:val="00564658"/>
    <w:rsid w:val="00581BDB"/>
    <w:rsid w:val="0059186D"/>
    <w:rsid w:val="00592CFD"/>
    <w:rsid w:val="005A5B40"/>
    <w:rsid w:val="005B4E27"/>
    <w:rsid w:val="005B5014"/>
    <w:rsid w:val="005D0480"/>
    <w:rsid w:val="005D4EC8"/>
    <w:rsid w:val="00620598"/>
    <w:rsid w:val="00621E22"/>
    <w:rsid w:val="00662C2A"/>
    <w:rsid w:val="00683E95"/>
    <w:rsid w:val="00686EE2"/>
    <w:rsid w:val="00690C02"/>
    <w:rsid w:val="00696562"/>
    <w:rsid w:val="006A1C68"/>
    <w:rsid w:val="006A2406"/>
    <w:rsid w:val="006C2003"/>
    <w:rsid w:val="006C6252"/>
    <w:rsid w:val="006D1007"/>
    <w:rsid w:val="006E52E7"/>
    <w:rsid w:val="006F0D88"/>
    <w:rsid w:val="00707181"/>
    <w:rsid w:val="00720EA3"/>
    <w:rsid w:val="00727088"/>
    <w:rsid w:val="00741E90"/>
    <w:rsid w:val="00754692"/>
    <w:rsid w:val="007A6F69"/>
    <w:rsid w:val="007A7335"/>
    <w:rsid w:val="007D1BDE"/>
    <w:rsid w:val="007D4D9B"/>
    <w:rsid w:val="007E12FD"/>
    <w:rsid w:val="007E4D7A"/>
    <w:rsid w:val="007E577A"/>
    <w:rsid w:val="007F33D2"/>
    <w:rsid w:val="00815FFC"/>
    <w:rsid w:val="00817290"/>
    <w:rsid w:val="00827A01"/>
    <w:rsid w:val="00834BB9"/>
    <w:rsid w:val="00837360"/>
    <w:rsid w:val="008904B6"/>
    <w:rsid w:val="008A1C31"/>
    <w:rsid w:val="008A5AAE"/>
    <w:rsid w:val="008A64C0"/>
    <w:rsid w:val="008B4A42"/>
    <w:rsid w:val="008D5263"/>
    <w:rsid w:val="008D605F"/>
    <w:rsid w:val="008E53AC"/>
    <w:rsid w:val="008E6F9C"/>
    <w:rsid w:val="008F54FF"/>
    <w:rsid w:val="00917CA5"/>
    <w:rsid w:val="009531F6"/>
    <w:rsid w:val="00953D0B"/>
    <w:rsid w:val="00964A76"/>
    <w:rsid w:val="00981FB5"/>
    <w:rsid w:val="00993769"/>
    <w:rsid w:val="009C12A9"/>
    <w:rsid w:val="009C6099"/>
    <w:rsid w:val="009D4AB3"/>
    <w:rsid w:val="009D602F"/>
    <w:rsid w:val="009E25C1"/>
    <w:rsid w:val="009F3286"/>
    <w:rsid w:val="009F6557"/>
    <w:rsid w:val="00A05E6A"/>
    <w:rsid w:val="00A255BB"/>
    <w:rsid w:val="00A36F19"/>
    <w:rsid w:val="00A45AB1"/>
    <w:rsid w:val="00A463F2"/>
    <w:rsid w:val="00A6669B"/>
    <w:rsid w:val="00A8544E"/>
    <w:rsid w:val="00A96387"/>
    <w:rsid w:val="00AB63A8"/>
    <w:rsid w:val="00AC1498"/>
    <w:rsid w:val="00AD6782"/>
    <w:rsid w:val="00AF58F2"/>
    <w:rsid w:val="00AF6F4F"/>
    <w:rsid w:val="00B11367"/>
    <w:rsid w:val="00B14E12"/>
    <w:rsid w:val="00B27FCB"/>
    <w:rsid w:val="00B35438"/>
    <w:rsid w:val="00B36B65"/>
    <w:rsid w:val="00B41027"/>
    <w:rsid w:val="00B42A6B"/>
    <w:rsid w:val="00B654ED"/>
    <w:rsid w:val="00B732CF"/>
    <w:rsid w:val="00B73D94"/>
    <w:rsid w:val="00B91E28"/>
    <w:rsid w:val="00B93FA8"/>
    <w:rsid w:val="00B94753"/>
    <w:rsid w:val="00B95740"/>
    <w:rsid w:val="00BA3190"/>
    <w:rsid w:val="00BB3616"/>
    <w:rsid w:val="00BC63E1"/>
    <w:rsid w:val="00BC73B5"/>
    <w:rsid w:val="00BE47B7"/>
    <w:rsid w:val="00BF0A2B"/>
    <w:rsid w:val="00C36E2B"/>
    <w:rsid w:val="00C461F0"/>
    <w:rsid w:val="00C75CEE"/>
    <w:rsid w:val="00C85CCF"/>
    <w:rsid w:val="00C91BA0"/>
    <w:rsid w:val="00C93003"/>
    <w:rsid w:val="00CA61A7"/>
    <w:rsid w:val="00CB3299"/>
    <w:rsid w:val="00CB7036"/>
    <w:rsid w:val="00CC6752"/>
    <w:rsid w:val="00CC7446"/>
    <w:rsid w:val="00CD1242"/>
    <w:rsid w:val="00D04B3E"/>
    <w:rsid w:val="00D21D27"/>
    <w:rsid w:val="00D2455A"/>
    <w:rsid w:val="00D4071D"/>
    <w:rsid w:val="00D4285C"/>
    <w:rsid w:val="00D86FF0"/>
    <w:rsid w:val="00D93B3E"/>
    <w:rsid w:val="00DB04ED"/>
    <w:rsid w:val="00DB31DF"/>
    <w:rsid w:val="00DC452B"/>
    <w:rsid w:val="00DF24C2"/>
    <w:rsid w:val="00DF29EF"/>
    <w:rsid w:val="00E270F0"/>
    <w:rsid w:val="00E410D2"/>
    <w:rsid w:val="00E42354"/>
    <w:rsid w:val="00E50261"/>
    <w:rsid w:val="00E52B60"/>
    <w:rsid w:val="00E5702E"/>
    <w:rsid w:val="00E579B5"/>
    <w:rsid w:val="00E72E4F"/>
    <w:rsid w:val="00E77298"/>
    <w:rsid w:val="00EC4812"/>
    <w:rsid w:val="00ED428C"/>
    <w:rsid w:val="00ED59F8"/>
    <w:rsid w:val="00F06DDF"/>
    <w:rsid w:val="00F710FA"/>
    <w:rsid w:val="00FA0C06"/>
    <w:rsid w:val="00FA3646"/>
    <w:rsid w:val="00FB00AE"/>
    <w:rsid w:val="00FB207F"/>
    <w:rsid w:val="00FB2A01"/>
    <w:rsid w:val="00FC0946"/>
    <w:rsid w:val="00FD2E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Style">
    <w:name w:val="Style"/>
    <w:rsid w:val="00591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9186D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59186D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styleId="Strong">
    <w:name w:val="Strong"/>
    <w:basedOn w:val="DefaultParagraphFont"/>
    <w:qFormat/>
    <w:rsid w:val="00F710FA"/>
    <w:rPr>
      <w:b/>
      <w:bCs/>
    </w:rPr>
  </w:style>
  <w:style w:type="paragraph" w:styleId="BodyTextIndent2">
    <w:name w:val="Body Text Indent 2"/>
    <w:basedOn w:val="Normal"/>
    <w:link w:val="BodyTextIndent2Char"/>
    <w:unhideWhenUsed/>
    <w:rsid w:val="00D4071D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rsid w:val="00D4071D"/>
  </w:style>
  <w:style w:type="character" w:styleId="Hyperlink">
    <w:name w:val="Hyperlink"/>
    <w:basedOn w:val="DefaultParagraphFont"/>
    <w:unhideWhenUsed/>
    <w:rsid w:val="00D4071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92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C705A4B-6DA9-4CB3-A11D-2F180A3BF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3406</Words>
  <Characters>19417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13</cp:revision>
  <cp:lastPrinted>2016-06-01T08:13:00Z</cp:lastPrinted>
  <dcterms:created xsi:type="dcterms:W3CDTF">2016-12-05T13:48:00Z</dcterms:created>
  <dcterms:modified xsi:type="dcterms:W3CDTF">2021-01-08T02:23:00Z</dcterms:modified>
</cp:coreProperties>
</file>