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F02FB" w:rsidRPr="00BF02FB" w:rsidTr="00D65A2A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9F1114C" wp14:editId="50315CD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10C266FD" wp14:editId="0CF5C012">
                  <wp:simplePos x="0" y="0"/>
                  <wp:positionH relativeFrom="margin">
                    <wp:posOffset>282575</wp:posOffset>
                  </wp:positionH>
                  <wp:positionV relativeFrom="paragraph">
                    <wp:posOffset>4445</wp:posOffset>
                  </wp:positionV>
                  <wp:extent cx="775335" cy="731520"/>
                  <wp:effectExtent l="0" t="0" r="0" b="0"/>
                  <wp:wrapNone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F02FB" w:rsidRPr="00BF02FB" w:rsidTr="00D65A2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02FB" w:rsidRPr="00BF02FB" w:rsidTr="00D65A2A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BF02FB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02FB" w:rsidRPr="00BF02FB" w:rsidTr="00D65A2A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АУДИОЛОГИЈА</w:t>
            </w:r>
          </w:p>
        </w:tc>
      </w:tr>
      <w:tr w:rsidR="00BF02FB" w:rsidRPr="00BF02FB" w:rsidTr="00D65A2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BF02FB">
              <w:rPr>
                <w:rFonts w:ascii="Arial Narrow" w:hAnsi="Arial Narrow" w:cs="Times New Roman"/>
                <w:sz w:val="20"/>
                <w:szCs w:val="20"/>
              </w:rPr>
              <w:t>хируршке гране</w:t>
            </w: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Медицински факултет Фоча</w:t>
            </w:r>
          </w:p>
        </w:tc>
      </w:tr>
      <w:tr w:rsidR="00BF02FB" w:rsidRPr="00BF02FB" w:rsidTr="00D65A2A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F02FB" w:rsidRPr="00BF02FB" w:rsidTr="00D65A2A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F02FB" w:rsidRPr="00BF02FB" w:rsidTr="00D65A2A">
        <w:tc>
          <w:tcPr>
            <w:tcW w:w="2943" w:type="dxa"/>
            <w:gridSpan w:val="6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BF02FB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</w:t>
            </w:r>
            <w:r w:rsidRPr="00BF02F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BF02FB">
              <w:rPr>
                <w:rFonts w:ascii="Arial Narrow" w:hAnsi="Arial Narrow" w:cs="Times New Roman"/>
                <w:sz w:val="20"/>
                <w:szCs w:val="20"/>
                <w:lang w:val="fr-FR"/>
              </w:rPr>
              <w:t>04-1-023-5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 w:rsidRPr="00BF02F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BF02FB" w:rsidRPr="00BF02FB" w:rsidTr="00D65A2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Доц.др Синиша Шолаја, Доц.др Зоран Дудварски</w:t>
            </w:r>
          </w:p>
        </w:tc>
      </w:tr>
      <w:tr w:rsidR="00BF02FB" w:rsidRPr="00BF02FB" w:rsidTr="00D65A2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др Љиљана Крсмановић, асистент</w:t>
            </w:r>
          </w:p>
        </w:tc>
      </w:tr>
      <w:tr w:rsidR="00BF02FB" w:rsidRPr="00BF02FB" w:rsidTr="00D65A2A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F02F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F02F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F02FB" w:rsidRPr="00BF02FB" w:rsidTr="00D65A2A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F02F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o¹</w:t>
            </w:r>
          </w:p>
        </w:tc>
      </w:tr>
      <w:tr w:rsidR="00BF02FB" w:rsidRPr="00BF02FB" w:rsidTr="00D65A2A">
        <w:tc>
          <w:tcPr>
            <w:tcW w:w="1242" w:type="dxa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BF02FB" w:rsidRPr="00BF02FB" w:rsidTr="00D65A2A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BF02FB" w:rsidRPr="00BF02FB" w:rsidTr="00D65A2A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BF02FB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BF02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BF02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BF02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BF02F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150 </w:t>
            </w:r>
            <w:r w:rsidRPr="00BF02F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семестрално </w:t>
            </w:r>
          </w:p>
        </w:tc>
      </w:tr>
      <w:tr w:rsidR="00BF02FB" w:rsidRPr="00BF02FB" w:rsidTr="00D65A2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F02FB" w:rsidRPr="00BF02FB" w:rsidRDefault="00BF02FB" w:rsidP="00D65A2A">
            <w:pPr>
              <w:rPr>
                <w:rFonts w:ascii="Arial Narrow" w:hAnsi="Arial Narrow"/>
                <w:sz w:val="20"/>
                <w:szCs w:val="20"/>
              </w:rPr>
            </w:pPr>
            <w:r w:rsidRPr="00BF02FB">
              <w:rPr>
                <w:rFonts w:ascii="Arial Narrow" w:hAnsi="Arial Narrow"/>
                <w:sz w:val="20"/>
                <w:szCs w:val="20"/>
              </w:rPr>
              <w:t>Студент је оспособљен за:</w:t>
            </w:r>
          </w:p>
          <w:p w:rsidR="00BF02FB" w:rsidRPr="00BF02FB" w:rsidRDefault="00BF02FB" w:rsidP="00D65A2A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Циљ је да студенти добију ширу перспективу у сагледавању проблема, са биолошко-медицинског аспекта чула слуха које је најважније чуло за комуникацију и чула за равнотежу које је најстарије чуло. </w:t>
            </w:r>
          </w:p>
          <w:p w:rsidR="00BF02FB" w:rsidRPr="00BF02FB" w:rsidRDefault="00BF02FB" w:rsidP="00D65A2A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>У свом каснијем стру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</w:rPr>
              <w:t>ч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ном раду ово знање ће бити неопходно за квалитетно обављање посла сурдолога и логопеда са одговарајућим разумевањем које обезбеђује шири медицински прилаз. </w:t>
            </w:r>
          </w:p>
          <w:p w:rsidR="00BF02FB" w:rsidRPr="00BF02FB" w:rsidRDefault="00BF02FB" w:rsidP="00D65A2A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Такође, топографска дијагностика нервуса фациалиса је део обуке јер спада у делокруг рада клиничке аудиологије. </w:t>
            </w:r>
          </w:p>
          <w:p w:rsidR="00BF02FB" w:rsidRPr="00BF02FB" w:rsidRDefault="00BF02FB" w:rsidP="00D65A2A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Циљ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је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и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да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се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студенти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упознају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са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медицинским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аспектима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болести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уха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и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њиховим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начинима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лечења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>.</w:t>
            </w:r>
          </w:p>
        </w:tc>
      </w:tr>
      <w:tr w:rsidR="00BF02FB" w:rsidRPr="00BF02FB" w:rsidTr="00D65A2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BF02FB" w:rsidRPr="00BF02FB" w:rsidTr="00D65A2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Теоријска настава, в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ј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ежбе, консултације, семинарски рад</w:t>
            </w:r>
            <w:r w:rsidRPr="00BF02F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BF02FB" w:rsidRPr="00BF02FB" w:rsidTr="00D65A2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Предавања: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Акустика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М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орфологија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и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ф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изиологија спољашњег и средњег уха.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М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орфологија и физиологија </w:t>
            </w:r>
            <w:r w:rsidRPr="00BF02FB">
              <w:rPr>
                <w:rFonts w:ascii="Arial Narrow" w:hAnsi="Arial Narrow"/>
                <w:sz w:val="20"/>
                <w:szCs w:val="20"/>
              </w:rPr>
              <w:t>унутрашњег уха-чуло слуха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М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орфологија и физиологија чула за равнотежу. 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Методе испитивања слуха.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Диференцијална дијагноза </w:t>
            </w:r>
            <w:r w:rsidRPr="00BF02FB">
              <w:rPr>
                <w:rFonts w:ascii="Arial Narrow" w:hAnsi="Arial Narrow"/>
                <w:sz w:val="20"/>
                <w:szCs w:val="20"/>
                <w:lang w:val="sr-Cyrl-BA"/>
              </w:rPr>
              <w:t>о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r w:rsidRPr="00BF02FB">
              <w:rPr>
                <w:rFonts w:ascii="Arial Narrow" w:hAnsi="Arial Narrow"/>
                <w:sz w:val="20"/>
                <w:szCs w:val="20"/>
                <w:lang w:val="sr-Cyrl-BA"/>
              </w:rPr>
              <w:t>те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ћ</w:t>
            </w:r>
            <w:r w:rsidRPr="00BF02FB">
              <w:rPr>
                <w:rFonts w:ascii="Arial Narrow" w:hAnsi="Arial Narrow"/>
                <w:sz w:val="20"/>
                <w:szCs w:val="20"/>
                <w:lang w:val="sr-Cyrl-BA"/>
              </w:rPr>
              <w:t>ења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sr-Cyrl-BA"/>
              </w:rPr>
              <w:t>слуха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Методе испитивања чула за равнотежу.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Болести спољашњег</w:t>
            </w:r>
            <w:r w:rsidRPr="00BF02FB">
              <w:rPr>
                <w:rFonts w:ascii="Arial Narrow" w:hAnsi="Arial Narrow"/>
                <w:sz w:val="20"/>
                <w:szCs w:val="20"/>
              </w:rPr>
              <w:t xml:space="preserve"> и средњег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уха и утицај на слух.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Обољења унутрашњег уха.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Филогенетски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и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онтогенетски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развој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уха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Конгениталне малформације уха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Рехабилитација слуха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Нервус фациалис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Термини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за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надокнаду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или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додатно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F02FB">
              <w:rPr>
                <w:rFonts w:ascii="Arial Narrow" w:hAnsi="Arial Narrow"/>
                <w:sz w:val="20"/>
                <w:szCs w:val="20"/>
                <w:lang w:val="pl-PL"/>
              </w:rPr>
              <w:t>предавање</w:t>
            </w:r>
            <w:r w:rsidRPr="00BF02F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Семинари.</w:t>
            </w:r>
          </w:p>
          <w:p w:rsidR="00BF02FB" w:rsidRPr="00BF02FB" w:rsidRDefault="00BF02FB" w:rsidP="00D65A2A">
            <w:pPr>
              <w:rPr>
                <w:rFonts w:ascii="Arial Narrow" w:hAnsi="Arial Narrow"/>
                <w:b/>
                <w:iCs/>
                <w:sz w:val="20"/>
                <w:szCs w:val="20"/>
                <w:u w:val="single"/>
              </w:rPr>
            </w:pPr>
            <w:r w:rsidRPr="00BF02FB">
              <w:rPr>
                <w:rFonts w:ascii="Arial Narrow" w:hAnsi="Arial Narrow"/>
                <w:b/>
                <w:iCs/>
                <w:sz w:val="20"/>
                <w:szCs w:val="20"/>
                <w:u w:val="single"/>
              </w:rPr>
              <w:t>Вјежбе: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 xml:space="preserve">Анамнеза у ОРЛ. Аудиолошка анамнеза одраслих. 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Специфичности аудиолошке анемнезе код деце. Примери из праксе.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 xml:space="preserve">Организација радног места. Отоскопија. Отомикроскопија. 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Патологија периферног и централног аудиолошко-вестибулолошког система.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Врсте и степен оштећенја слуха. Испитивање слуха звучним виљушкама.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Тонална лиминарна аудиметрија. Говорна аудимотерија. Испитивање слуха код деце.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 xml:space="preserve">Методе објективног испитивања слуха. Аудиметрија евоцираних потенцијала. 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Отоакустичне емисије.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lastRenderedPageBreak/>
              <w:t>Импендацметрија: тимпанометрија, стапедијални рефлекс.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Методе испитивања чула за равнотежу.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Слушни амплификатори. БАХА.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 xml:space="preserve"> Кохлеарни импланти. Хабилитација слуха.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Медински третман оштећења слуха. Превенција оштећења слуха.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Практични рад у аудиолошко-вестибулошком кабинету.</w:t>
            </w:r>
          </w:p>
          <w:p w:rsidR="00BF02FB" w:rsidRPr="00BF02FB" w:rsidRDefault="00BF02FB" w:rsidP="00D65A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iCs/>
                <w:sz w:val="20"/>
                <w:szCs w:val="20"/>
              </w:rPr>
            </w:pPr>
            <w:r w:rsidRPr="00BF02FB">
              <w:rPr>
                <w:rFonts w:ascii="Arial Narrow" w:hAnsi="Arial Narrow"/>
                <w:iCs/>
                <w:sz w:val="20"/>
                <w:szCs w:val="20"/>
              </w:rPr>
              <w:t>Практични рад у аудиолошко-вестибулолошком кабинету.</w:t>
            </w:r>
          </w:p>
          <w:p w:rsidR="00BF02FB" w:rsidRPr="00BF02FB" w:rsidRDefault="00BF02FB" w:rsidP="00D65A2A">
            <w:pPr>
              <w:rPr>
                <w:rFonts w:ascii="Arial Narrow" w:hAnsi="Arial Narrow"/>
                <w:b/>
                <w:iCs/>
                <w:sz w:val="20"/>
                <w:szCs w:val="20"/>
                <w:u w:val="single"/>
              </w:rPr>
            </w:pPr>
          </w:p>
        </w:tc>
      </w:tr>
      <w:tr w:rsidR="00BF02FB" w:rsidRPr="00BF02FB" w:rsidTr="00D65A2A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F02FB" w:rsidRPr="00BF02FB" w:rsidTr="00D65A2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F02FB" w:rsidRPr="00BF02FB" w:rsidTr="00D65A2A">
        <w:tc>
          <w:tcPr>
            <w:tcW w:w="2512" w:type="dxa"/>
            <w:gridSpan w:val="4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Проф.др Боривоје Бабић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F02FB" w:rsidRPr="00BF02FB" w:rsidRDefault="00BF02FB" w:rsidP="00D65A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Аудиологија и вестибулологија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02FB" w:rsidRPr="00BF02FB" w:rsidTr="00D65A2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Факултет за специјалну едукацију и рехабилитацију,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02FB" w:rsidRPr="00BF02FB" w:rsidTr="00D65A2A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F02FB" w:rsidRPr="00BF02FB" w:rsidTr="00D65A2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F02FB" w:rsidRPr="00BF02FB" w:rsidTr="00D65A2A">
        <w:tc>
          <w:tcPr>
            <w:tcW w:w="2512" w:type="dxa"/>
            <w:gridSpan w:val="4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02FB" w:rsidRPr="00BF02FB" w:rsidTr="00D65A2A">
        <w:tc>
          <w:tcPr>
            <w:tcW w:w="2512" w:type="dxa"/>
            <w:gridSpan w:val="4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02FB" w:rsidRPr="00BF02FB" w:rsidTr="00D65A2A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F02FB" w:rsidRPr="00BF02FB" w:rsidTr="00D65A2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F02FB" w:rsidRPr="00BF02FB" w:rsidTr="00D65A2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F02FB" w:rsidRPr="00BF02FB" w:rsidRDefault="00BF02FB" w:rsidP="00D65A2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BF02FB" w:rsidRPr="00BF02FB" w:rsidTr="00D65A2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F02FB" w:rsidRPr="00BF02FB" w:rsidRDefault="00BF02FB" w:rsidP="00D65A2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BF02FB" w:rsidRPr="00BF02FB" w:rsidTr="00D65A2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F02FB" w:rsidRPr="00BF02FB" w:rsidRDefault="00BF02FB" w:rsidP="00D65A2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F02FB" w:rsidRPr="00BF02FB" w:rsidTr="00D65A2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F02FB" w:rsidRPr="00BF02FB" w:rsidRDefault="00BF02FB" w:rsidP="00D65A2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BF02FB" w:rsidRPr="00BF02FB" w:rsidTr="00D65A2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F02FB" w:rsidRPr="00BF02FB" w:rsidTr="00D65A2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F02FB" w:rsidRPr="00BF02FB" w:rsidRDefault="00BF02FB" w:rsidP="00D65A2A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BF02FB" w:rsidRPr="00BF02FB" w:rsidTr="00D65A2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F02FB" w:rsidRPr="00BF02FB" w:rsidTr="00D65A2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F02FB" w:rsidRPr="00BF02FB" w:rsidRDefault="00BF02FB" w:rsidP="00D65A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02F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 (унијети задњи датум усвајања овог силабуса на сједници Вијећа)</w:t>
            </w:r>
          </w:p>
        </w:tc>
      </w:tr>
    </w:tbl>
    <w:p w:rsidR="00BF02FB" w:rsidRPr="00BF02FB" w:rsidRDefault="00BF02FB" w:rsidP="00BF02FB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F02FB" w:rsidRPr="00BB3616" w:rsidRDefault="00BF02FB" w:rsidP="00BF02FB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F02FB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B36B65" w:rsidRPr="00BF02FB" w:rsidRDefault="00B36B65" w:rsidP="00BF02FB"/>
    <w:sectPr w:rsidR="00B36B65" w:rsidRPr="00BF02FB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31" w:rsidRDefault="00227531" w:rsidP="00662C2A">
      <w:pPr>
        <w:spacing w:after="0" w:line="240" w:lineRule="auto"/>
      </w:pPr>
      <w:r>
        <w:separator/>
      </w:r>
    </w:p>
  </w:endnote>
  <w:endnote w:type="continuationSeparator" w:id="0">
    <w:p w:rsidR="00227531" w:rsidRDefault="0022753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31" w:rsidRDefault="00227531" w:rsidP="00662C2A">
      <w:pPr>
        <w:spacing w:after="0" w:line="240" w:lineRule="auto"/>
      </w:pPr>
      <w:r>
        <w:separator/>
      </w:r>
    </w:p>
  </w:footnote>
  <w:footnote w:type="continuationSeparator" w:id="0">
    <w:p w:rsidR="00227531" w:rsidRDefault="00227531" w:rsidP="00662C2A">
      <w:pPr>
        <w:spacing w:after="0" w:line="240" w:lineRule="auto"/>
      </w:pPr>
      <w:r>
        <w:continuationSeparator/>
      </w:r>
    </w:p>
  </w:footnote>
  <w:footnote w:id="1">
    <w:p w:rsidR="00BF02FB" w:rsidRPr="00ED59F8" w:rsidRDefault="00BF02FB" w:rsidP="00BF02F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F02FB" w:rsidRPr="00BB3616" w:rsidRDefault="00BF02FB" w:rsidP="00BF02F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F02FB" w:rsidRPr="00564658" w:rsidRDefault="00BF02FB" w:rsidP="00BF02F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57735"/>
    <w:multiLevelType w:val="hybridMultilevel"/>
    <w:tmpl w:val="D85E4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72DED"/>
    <w:multiLevelType w:val="hybridMultilevel"/>
    <w:tmpl w:val="1342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F2751"/>
    <w:multiLevelType w:val="hybridMultilevel"/>
    <w:tmpl w:val="46A4676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78482F57"/>
    <w:multiLevelType w:val="hybridMultilevel"/>
    <w:tmpl w:val="0CB85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32D6E"/>
    <w:rsid w:val="00045978"/>
    <w:rsid w:val="00060A17"/>
    <w:rsid w:val="00073BE8"/>
    <w:rsid w:val="000C20EE"/>
    <w:rsid w:val="000C4C55"/>
    <w:rsid w:val="000C586E"/>
    <w:rsid w:val="000D31B4"/>
    <w:rsid w:val="000E1F0F"/>
    <w:rsid w:val="000E6CA4"/>
    <w:rsid w:val="000E75EE"/>
    <w:rsid w:val="00142472"/>
    <w:rsid w:val="00150345"/>
    <w:rsid w:val="00186858"/>
    <w:rsid w:val="001919F4"/>
    <w:rsid w:val="00191E6E"/>
    <w:rsid w:val="00194F04"/>
    <w:rsid w:val="001B6A8D"/>
    <w:rsid w:val="001E27BB"/>
    <w:rsid w:val="002166A8"/>
    <w:rsid w:val="00227531"/>
    <w:rsid w:val="00273B0D"/>
    <w:rsid w:val="002833F0"/>
    <w:rsid w:val="002B0879"/>
    <w:rsid w:val="002C419B"/>
    <w:rsid w:val="00322925"/>
    <w:rsid w:val="00355B14"/>
    <w:rsid w:val="0037103D"/>
    <w:rsid w:val="00371516"/>
    <w:rsid w:val="003848E7"/>
    <w:rsid w:val="003A52B9"/>
    <w:rsid w:val="003B1A86"/>
    <w:rsid w:val="003B5A99"/>
    <w:rsid w:val="004027B9"/>
    <w:rsid w:val="0041022D"/>
    <w:rsid w:val="00421F85"/>
    <w:rsid w:val="004228ED"/>
    <w:rsid w:val="00425543"/>
    <w:rsid w:val="004309D0"/>
    <w:rsid w:val="00430C4E"/>
    <w:rsid w:val="0043206D"/>
    <w:rsid w:val="004340B9"/>
    <w:rsid w:val="00446201"/>
    <w:rsid w:val="00516918"/>
    <w:rsid w:val="00545329"/>
    <w:rsid w:val="00550AD9"/>
    <w:rsid w:val="00564658"/>
    <w:rsid w:val="00581BDB"/>
    <w:rsid w:val="00592CFD"/>
    <w:rsid w:val="005B5014"/>
    <w:rsid w:val="005C1852"/>
    <w:rsid w:val="00620598"/>
    <w:rsid w:val="00621E22"/>
    <w:rsid w:val="00632822"/>
    <w:rsid w:val="00633DA5"/>
    <w:rsid w:val="0063760A"/>
    <w:rsid w:val="00662C2A"/>
    <w:rsid w:val="006823AF"/>
    <w:rsid w:val="00686EE2"/>
    <w:rsid w:val="00696562"/>
    <w:rsid w:val="006F0D88"/>
    <w:rsid w:val="00707181"/>
    <w:rsid w:val="00713355"/>
    <w:rsid w:val="00720EA3"/>
    <w:rsid w:val="00741E90"/>
    <w:rsid w:val="007422E6"/>
    <w:rsid w:val="007528D1"/>
    <w:rsid w:val="00792326"/>
    <w:rsid w:val="007A7335"/>
    <w:rsid w:val="007D4D9B"/>
    <w:rsid w:val="007D79C2"/>
    <w:rsid w:val="00817290"/>
    <w:rsid w:val="00834BB9"/>
    <w:rsid w:val="00855B9C"/>
    <w:rsid w:val="00866695"/>
    <w:rsid w:val="008A5AAE"/>
    <w:rsid w:val="008D5263"/>
    <w:rsid w:val="008D63E1"/>
    <w:rsid w:val="008E6F9C"/>
    <w:rsid w:val="008F54FF"/>
    <w:rsid w:val="00953D0B"/>
    <w:rsid w:val="00964A76"/>
    <w:rsid w:val="009832A9"/>
    <w:rsid w:val="00983590"/>
    <w:rsid w:val="009C12A9"/>
    <w:rsid w:val="009C6099"/>
    <w:rsid w:val="009F728B"/>
    <w:rsid w:val="00A05E6A"/>
    <w:rsid w:val="00A06A54"/>
    <w:rsid w:val="00A255BB"/>
    <w:rsid w:val="00A45AB1"/>
    <w:rsid w:val="00A5528F"/>
    <w:rsid w:val="00A6470F"/>
    <w:rsid w:val="00A6669B"/>
    <w:rsid w:val="00A703BD"/>
    <w:rsid w:val="00A8544E"/>
    <w:rsid w:val="00A96387"/>
    <w:rsid w:val="00AA2C30"/>
    <w:rsid w:val="00AB50B5"/>
    <w:rsid w:val="00AC1498"/>
    <w:rsid w:val="00AD6782"/>
    <w:rsid w:val="00AF1979"/>
    <w:rsid w:val="00AF6F4F"/>
    <w:rsid w:val="00B27FCB"/>
    <w:rsid w:val="00B36B65"/>
    <w:rsid w:val="00B41027"/>
    <w:rsid w:val="00B57D5C"/>
    <w:rsid w:val="00B732CF"/>
    <w:rsid w:val="00B73D94"/>
    <w:rsid w:val="00B91E28"/>
    <w:rsid w:val="00B93FA8"/>
    <w:rsid w:val="00B94753"/>
    <w:rsid w:val="00BB3616"/>
    <w:rsid w:val="00BC44ED"/>
    <w:rsid w:val="00BF02FB"/>
    <w:rsid w:val="00C01A18"/>
    <w:rsid w:val="00C039C6"/>
    <w:rsid w:val="00C32DF2"/>
    <w:rsid w:val="00C36E2B"/>
    <w:rsid w:val="00C536B9"/>
    <w:rsid w:val="00C85CCF"/>
    <w:rsid w:val="00C93003"/>
    <w:rsid w:val="00CB3299"/>
    <w:rsid w:val="00CB7036"/>
    <w:rsid w:val="00CC6752"/>
    <w:rsid w:val="00CC7446"/>
    <w:rsid w:val="00CD1242"/>
    <w:rsid w:val="00CE2442"/>
    <w:rsid w:val="00D4285C"/>
    <w:rsid w:val="00D86FF0"/>
    <w:rsid w:val="00D93B3E"/>
    <w:rsid w:val="00DC452B"/>
    <w:rsid w:val="00DF29EF"/>
    <w:rsid w:val="00E50261"/>
    <w:rsid w:val="00E579B5"/>
    <w:rsid w:val="00E62C85"/>
    <w:rsid w:val="00E72E4F"/>
    <w:rsid w:val="00E77298"/>
    <w:rsid w:val="00E820B0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B482D4B-4616-497F-B802-29A367FA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2016-06-01T08:13:00Z</cp:lastPrinted>
  <dcterms:created xsi:type="dcterms:W3CDTF">2018-10-03T08:42:00Z</dcterms:created>
  <dcterms:modified xsi:type="dcterms:W3CDTF">2021-02-20T19:48:00Z</dcterms:modified>
</cp:coreProperties>
</file>