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3E4568" w:rsidRPr="00B22C79">
        <w:trPr>
          <w:trHeight w:val="469"/>
        </w:trPr>
        <w:tc>
          <w:tcPr>
            <w:tcW w:w="2048" w:type="dxa"/>
            <w:gridSpan w:val="3"/>
            <w:vMerge w:val="restart"/>
            <w:vAlign w:val="center"/>
          </w:tcPr>
          <w:p w:rsidR="003E4568" w:rsidRPr="00B22C79" w:rsidRDefault="000F585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noProof/>
                <w:sz w:val="20"/>
                <w:szCs w:val="20"/>
              </w:rPr>
              <w:drawing>
                <wp:inline distT="0" distB="0" distL="0" distR="0">
                  <wp:extent cx="746125" cy="74612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6125" cy="746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УНИВЕРЗИТЕТ У ИСТОЧНОМ САРАЈЕВУ</w:t>
            </w:r>
          </w:p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3E4568" w:rsidRPr="00B22C79" w:rsidRDefault="000F585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noProof/>
                <w:sz w:val="20"/>
                <w:szCs w:val="20"/>
              </w:rPr>
              <w:drawing>
                <wp:inline distT="0" distB="0" distL="0" distR="0">
                  <wp:extent cx="1119505" cy="775335"/>
                  <wp:effectExtent l="0" t="0" r="4445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9505" cy="775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4568" w:rsidRPr="00B22C79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3E4568" w:rsidRPr="00B22C79" w:rsidRDefault="003E456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:rsidR="003E4568" w:rsidRPr="00B22C79" w:rsidRDefault="006C258A">
            <w:pPr>
              <w:spacing w:after="0" w:line="240" w:lineRule="auto"/>
              <w:jc w:val="center"/>
              <w:rPr>
                <w:rFonts w:ascii="Arial Narrow" w:hAnsi="Arial Narrow"/>
                <w:b/>
                <w:i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i/>
                <w:sz w:val="20"/>
                <w:szCs w:val="20"/>
              </w:rPr>
              <w:t>Студијски програм: с</w:t>
            </w:r>
            <w:r w:rsidR="00AC14FB" w:rsidRPr="00B22C79">
              <w:rPr>
                <w:rFonts w:ascii="Arial Narrow" w:hAnsi="Arial Narrow"/>
                <w:b/>
                <w:i/>
                <w:sz w:val="20"/>
                <w:szCs w:val="20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3E4568" w:rsidRPr="00B22C79" w:rsidRDefault="003E456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E4568" w:rsidRPr="00B22C79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3E4568" w:rsidRPr="00B22C79" w:rsidRDefault="003E456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3E4568" w:rsidRPr="00B22C79" w:rsidRDefault="006C258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 xml:space="preserve">Интегрисане академске </w:t>
            </w:r>
            <w:r w:rsidRPr="00B22C79">
              <w:rPr>
                <w:rFonts w:ascii="Arial Narrow" w:hAnsi="Arial Narrow"/>
                <w:sz w:val="20"/>
                <w:szCs w:val="20"/>
                <w:lang w:val="sr-Cyrl-BA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I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3E4568" w:rsidRPr="00B22C79" w:rsidRDefault="003E456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E4568" w:rsidRPr="00B22C79">
        <w:tc>
          <w:tcPr>
            <w:tcW w:w="2048" w:type="dxa"/>
            <w:gridSpan w:val="3"/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ОРАЛНА ХИГИЈЕНА</w:t>
            </w:r>
          </w:p>
        </w:tc>
      </w:tr>
      <w:tr w:rsidR="003E4568" w:rsidRPr="00B22C79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Катедра</w:t>
            </w:r>
            <w:r w:rsidRPr="00B22C79">
              <w:rPr>
                <w:rFonts w:ascii="Arial Narrow" w:hAnsi="Arial Narrow"/>
                <w:b/>
                <w:sz w:val="20"/>
                <w:szCs w:val="20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3E4568" w:rsidRPr="00B22C79" w:rsidRDefault="0025616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Катедра за д</w:t>
            </w:r>
            <w:r w:rsidR="0081782F" w:rsidRPr="00B22C79">
              <w:rPr>
                <w:rFonts w:ascii="Arial Narrow" w:hAnsi="Arial Narrow"/>
                <w:sz w:val="20"/>
                <w:szCs w:val="20"/>
              </w:rPr>
              <w:t>јечију и превентивну стоматологију</w:t>
            </w:r>
            <w:r w:rsidR="00AC14FB" w:rsidRPr="00B22C79">
              <w:rPr>
                <w:rFonts w:ascii="Arial Narrow" w:hAnsi="Arial Narrow"/>
                <w:sz w:val="20"/>
                <w:szCs w:val="20"/>
              </w:rPr>
              <w:t xml:space="preserve"> са ортодонцијом</w:t>
            </w:r>
            <w:r w:rsidR="0081782F" w:rsidRPr="00B22C79">
              <w:rPr>
                <w:rFonts w:ascii="Arial Narrow" w:hAnsi="Arial Narrow"/>
                <w:sz w:val="20"/>
                <w:szCs w:val="20"/>
              </w:rPr>
              <w:t>,Медицински факултет у Фочи</w:t>
            </w:r>
          </w:p>
        </w:tc>
      </w:tr>
      <w:tr w:rsidR="003E4568" w:rsidRPr="00B22C79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ECTS</w:t>
            </w:r>
          </w:p>
        </w:tc>
      </w:tr>
      <w:tr w:rsidR="003E4568" w:rsidRPr="00B22C79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E4568" w:rsidRPr="00B22C79" w:rsidRDefault="003E456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E4568" w:rsidRPr="00B22C79" w:rsidRDefault="003E456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E4568" w:rsidRPr="00B22C79" w:rsidRDefault="003E456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E4568" w:rsidRPr="00B22C79" w:rsidRDefault="003E4568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E4568" w:rsidRPr="00B22C79">
        <w:tc>
          <w:tcPr>
            <w:tcW w:w="2943" w:type="dxa"/>
            <w:gridSpan w:val="6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СТ-04-1-006-2</w:t>
            </w:r>
          </w:p>
        </w:tc>
        <w:tc>
          <w:tcPr>
            <w:tcW w:w="2268" w:type="dxa"/>
            <w:gridSpan w:val="5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обавезан</w:t>
            </w:r>
          </w:p>
        </w:tc>
        <w:tc>
          <w:tcPr>
            <w:tcW w:w="2109" w:type="dxa"/>
            <w:gridSpan w:val="3"/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 xml:space="preserve">                   II</w:t>
            </w:r>
          </w:p>
        </w:tc>
        <w:tc>
          <w:tcPr>
            <w:tcW w:w="2286" w:type="dxa"/>
            <w:gridSpan w:val="3"/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 xml:space="preserve">                   5</w:t>
            </w:r>
          </w:p>
        </w:tc>
      </w:tr>
      <w:tr w:rsidR="003E4568" w:rsidRPr="00B22C79">
        <w:tc>
          <w:tcPr>
            <w:tcW w:w="1668" w:type="dxa"/>
            <w:gridSpan w:val="2"/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3E4568" w:rsidRPr="00B22C79" w:rsidRDefault="006C258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д</w:t>
            </w:r>
            <w:r w:rsidR="00AC14FB" w:rsidRPr="00B22C79">
              <w:rPr>
                <w:rFonts w:ascii="Arial Narrow" w:hAnsi="Arial Narrow"/>
                <w:sz w:val="20"/>
                <w:szCs w:val="20"/>
              </w:rPr>
              <w:t>оц. др Драган Ивановић, доцент</w:t>
            </w:r>
            <w:r w:rsidR="0003764A" w:rsidRPr="00B22C79">
              <w:rPr>
                <w:rFonts w:ascii="Arial Narrow" w:hAnsi="Arial Narrow"/>
                <w:sz w:val="20"/>
                <w:szCs w:val="20"/>
              </w:rPr>
              <w:t>;</w:t>
            </w:r>
            <w:r w:rsidR="00AF3F97" w:rsidRPr="00B22C7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22C79">
              <w:rPr>
                <w:rFonts w:ascii="Arial Narrow" w:hAnsi="Arial Narrow"/>
                <w:sz w:val="20"/>
                <w:szCs w:val="20"/>
              </w:rPr>
              <w:t>д</w:t>
            </w:r>
            <w:r w:rsidR="00AC14FB" w:rsidRPr="00B22C79">
              <w:rPr>
                <w:rFonts w:ascii="Arial Narrow" w:hAnsi="Arial Narrow"/>
                <w:sz w:val="20"/>
                <w:szCs w:val="20"/>
              </w:rPr>
              <w:t>оц. др Свјетлана Јанковић, доцент</w:t>
            </w:r>
            <w:r w:rsidR="0003764A" w:rsidRPr="00B22C79">
              <w:rPr>
                <w:rFonts w:ascii="Arial Narrow" w:hAnsi="Arial Narrow"/>
                <w:sz w:val="20"/>
                <w:szCs w:val="20"/>
              </w:rPr>
              <w:t>;</w:t>
            </w:r>
            <w:r w:rsidR="00AF3F97" w:rsidRPr="00B22C79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B22C79">
              <w:rPr>
                <w:rFonts w:ascii="Arial Narrow" w:hAnsi="Arial Narrow"/>
                <w:sz w:val="20"/>
                <w:szCs w:val="20"/>
              </w:rPr>
              <w:t>д</w:t>
            </w:r>
            <w:r w:rsidR="00AC14FB" w:rsidRPr="00B22C79">
              <w:rPr>
                <w:rFonts w:ascii="Arial Narrow" w:hAnsi="Arial Narrow"/>
                <w:sz w:val="20"/>
                <w:szCs w:val="20"/>
              </w:rPr>
              <w:t>оц. др Бојана Давидовић, доцент</w:t>
            </w:r>
          </w:p>
        </w:tc>
      </w:tr>
      <w:tr w:rsidR="003E4568" w:rsidRPr="00B22C7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3E4568" w:rsidRPr="00B22C79" w:rsidRDefault="003E4568">
            <w:pPr>
              <w:spacing w:after="0" w:line="240" w:lineRule="auto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</w:tr>
      <w:tr w:rsidR="003E4568" w:rsidRPr="00B22C79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Коефицијент студентског оптерећења S</w:t>
            </w:r>
            <w:r w:rsidRPr="00B22C79">
              <w:rPr>
                <w:rFonts w:ascii="Arial Narrow" w:hAnsi="Arial Narrow"/>
                <w:b/>
                <w:sz w:val="20"/>
                <w:szCs w:val="20"/>
                <w:vertAlign w:val="subscript"/>
              </w:rPr>
              <w:t>o</w:t>
            </w:r>
            <w:r w:rsidRPr="00B22C79">
              <w:rPr>
                <w:rFonts w:ascii="Arial Narrow" w:hAnsi="Arial Narrow"/>
                <w:b/>
                <w:sz w:val="20"/>
                <w:szCs w:val="20"/>
                <w:vertAlign w:val="superscript"/>
              </w:rPr>
              <w:footnoteReference w:id="2"/>
            </w:r>
          </w:p>
        </w:tc>
      </w:tr>
      <w:tr w:rsidR="003E4568" w:rsidRPr="00B22C79">
        <w:trPr>
          <w:trHeight w:val="278"/>
        </w:trPr>
        <w:tc>
          <w:tcPr>
            <w:tcW w:w="1242" w:type="dxa"/>
            <w:shd w:val="clear" w:color="auto" w:fill="F2F2F2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S</w:t>
            </w:r>
            <w:r w:rsidRPr="00B22C79">
              <w:rPr>
                <w:rFonts w:ascii="Arial Narrow" w:hAnsi="Arial Narrow"/>
                <w:b/>
                <w:sz w:val="20"/>
                <w:szCs w:val="20"/>
                <w:vertAlign w:val="subscript"/>
              </w:rPr>
              <w:t>o</w:t>
            </w:r>
          </w:p>
        </w:tc>
      </w:tr>
      <w:tr w:rsidR="003E4568" w:rsidRPr="00B22C79">
        <w:tc>
          <w:tcPr>
            <w:tcW w:w="1242" w:type="dxa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1*15*1.5</w:t>
            </w:r>
          </w:p>
        </w:tc>
        <w:tc>
          <w:tcPr>
            <w:tcW w:w="1275" w:type="dxa"/>
            <w:gridSpan w:val="2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2*15*1.5</w:t>
            </w:r>
          </w:p>
        </w:tc>
        <w:tc>
          <w:tcPr>
            <w:tcW w:w="1272" w:type="dxa"/>
            <w:gridSpan w:val="3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1*15*1.5</w:t>
            </w:r>
          </w:p>
        </w:tc>
        <w:tc>
          <w:tcPr>
            <w:tcW w:w="1989" w:type="dxa"/>
            <w:gridSpan w:val="2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1.5</w:t>
            </w:r>
          </w:p>
        </w:tc>
      </w:tr>
      <w:tr w:rsidR="003E4568" w:rsidRPr="00B22C79">
        <w:tc>
          <w:tcPr>
            <w:tcW w:w="4614" w:type="dxa"/>
            <w:gridSpan w:val="8"/>
            <w:tcBorders>
              <w:bottom w:val="single" w:sz="4" w:space="0" w:color="auto"/>
            </w:tcBorders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 xml:space="preserve">укупно наставно оптерећење (у сатима, семестрално) </w:t>
            </w:r>
          </w:p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1*15 + 2*15 + 1*15  = 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 xml:space="preserve">укупно студентско оптерећење (у сатима, семестрално) </w:t>
            </w:r>
          </w:p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1*15*1.5+ 2*15*1.5 + 1*15*1.5 = 90</w:t>
            </w:r>
          </w:p>
        </w:tc>
      </w:tr>
      <w:tr w:rsidR="003E4568" w:rsidRPr="00B22C79">
        <w:tc>
          <w:tcPr>
            <w:tcW w:w="9606" w:type="dxa"/>
            <w:gridSpan w:val="17"/>
            <w:tcBorders>
              <w:bottom w:val="single" w:sz="4" w:space="0" w:color="auto"/>
            </w:tcBorders>
            <w:vAlign w:val="center"/>
          </w:tcPr>
          <w:p w:rsidR="003E4568" w:rsidRPr="00B22C79" w:rsidRDefault="00AF3F97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Укупно оптерећење предмета (наставно + студентско): </w:t>
            </w:r>
            <w:r w:rsidR="00AC14FB" w:rsidRPr="00B22C79">
              <w:rPr>
                <w:rFonts w:ascii="Arial Narrow" w:hAnsi="Arial Narrow"/>
                <w:sz w:val="20"/>
                <w:szCs w:val="20"/>
              </w:rPr>
              <w:t>60+ 90 = 150 сати семестрално</w:t>
            </w:r>
          </w:p>
        </w:tc>
      </w:tr>
      <w:tr w:rsidR="003E4568" w:rsidRPr="00B22C79">
        <w:tc>
          <w:tcPr>
            <w:tcW w:w="1668" w:type="dxa"/>
            <w:gridSpan w:val="2"/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Циљ предмета је да се студент упозна: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1.са сврхом и значајем редовног извођења оралне хигијене,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 xml:space="preserve">2.да се обучи да дијагностикује све меке наслаге у усној дупљи. 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3.да се упозна са средствима која треба користити у отклањању исти.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 xml:space="preserve">4.оспособити студента за самостално извођење оралне хигијене код дјеце и одраслих пацијената. </w:t>
            </w:r>
          </w:p>
        </w:tc>
      </w:tr>
      <w:tr w:rsidR="003E4568" w:rsidRPr="00B22C79">
        <w:tc>
          <w:tcPr>
            <w:tcW w:w="1668" w:type="dxa"/>
            <w:gridSpan w:val="2"/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3E4568" w:rsidRPr="00B22C79" w:rsidRDefault="003E456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3E4568" w:rsidRPr="00B22C79">
        <w:tc>
          <w:tcPr>
            <w:tcW w:w="1668" w:type="dxa"/>
            <w:gridSpan w:val="2"/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Предавања, вјежбе, семинарски рад, тестови</w:t>
            </w:r>
          </w:p>
        </w:tc>
      </w:tr>
      <w:tr w:rsidR="003E4568" w:rsidRPr="00B22C79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Предавања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1. Увод у предмет орална хигијена (Значај, улога и могућности оралне хигијене у очувању оралног и општег здравља појединца и цијеле популације).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 xml:space="preserve">2. Орални биофилм и друге меке наслаге на зубима. 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 xml:space="preserve">3. Мотивација и ремотивација пацијената за одржавање оралне хигијене. 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4. Чврсте зубне наслаге на зубима, методе за елиминацију супрагингивалног зубног каменца (ручни инструменти и ултразвучни апарати).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5. Методе детекције и уклањање денталног плака (Откривање денталног плака бојењем органским бојама, Техника примјенe еритрозин таблетама;  начини уклањања денталног плака).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6. Средства за одржавање оралне хигијене – основна средства (Четкице, интердентални конац, интердентални стимулатори, чачкалице, апарат са воденим млазом).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7. Средства за одржавање оралне хигијене – помоћна средства (Пасте за зубе: пасте са специјалном намјеном, профилактичке пасте, медицинске пасте; Улога пасти за зубе са флуоридима у спречавању појаве каријеса).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8. Хемијска контрола денталног плака (Хемиопрофилактичка средства у спречавању акумулације денталног плака; Врсте,механизам дејства).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9. Технике прањ</w:t>
            </w:r>
            <w:r w:rsidR="0053565B" w:rsidRPr="00B22C79">
              <w:rPr>
                <w:rFonts w:ascii="Arial Narrow" w:hAnsi="Arial Narrow"/>
                <w:sz w:val="20"/>
                <w:szCs w:val="20"/>
              </w:rPr>
              <w:t>а зуба (Вибрационе технике: Бас</w:t>
            </w:r>
            <w:r w:rsidRPr="00B22C79">
              <w:rPr>
                <w:rFonts w:ascii="Arial Narrow" w:hAnsi="Arial Narrow"/>
                <w:sz w:val="20"/>
                <w:szCs w:val="20"/>
              </w:rPr>
              <w:t>ова, Чартерсова, Стиллманова; ротационе технике прања зуба по Фонесу; Клизна метода прања зуба; Физиолошка метода).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10. Методе обуке прања зуба.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11. Остали фактори од којих зависи орална хигијена (Доба живота, стање зуба, присуство надокнада конзервативних и протетских, Ортодонтски  статус, Присуство општих обољења са манифестацијама у усниј дупљи).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12. Орална хигијена код трудница, пацијената високог ризика и пацијената са посебним потребама.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13. Индекси оралне хигијене (Објективна процјена стања оралне хигијене примјеном одговарајућих индекса.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14.</w:t>
            </w:r>
            <w:bookmarkStart w:id="0" w:name="_GoBack"/>
            <w:bookmarkEnd w:id="0"/>
            <w:r w:rsidRPr="00B22C79">
              <w:rPr>
                <w:rFonts w:ascii="Arial Narrow" w:hAnsi="Arial Narrow"/>
                <w:sz w:val="20"/>
                <w:szCs w:val="20"/>
              </w:rPr>
              <w:t xml:space="preserve">Обука пацијената са протетским радовима, ортодонтским апаратима, ендосеалним имплантима и супраструктурама за одржаванје оралне хигијене. 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15.Одржавање оралне хигијене у хоспитолизованих болесника и болесника медицинског ризика.</w:t>
            </w:r>
          </w:p>
          <w:p w:rsidR="003E4568" w:rsidRPr="00B22C79" w:rsidRDefault="003E456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Вјежбе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lastRenderedPageBreak/>
              <w:t>1. Уводне вjежбе. Основи за извођење оралне хигијене.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2. Анамнеза и клинички преглед. Радно мjесто-стоматолошка столица, физиолошки положај пацијента.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3. Радни положај стоматолога. Правилно коришћење стоматолошке сонде и огледалца, фиксација лиjеве и десне руке при прегледу пацијента.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4. Основни стоматолошки преглед. Попуњавање стоматолошког прегледа.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5. Примјена основних средства за одржавање оралне хигијене (основна средства:четкица за зубе, интердентални конац, интердентални стимулатори, траке за полирање, чачкалице,апарат са воденим млазом).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6. Примјена помоћних средства за одржавање оралне хигијене (помоћна средства: пасте за зубе,средства за откривање денталног плака, хемиопрофилактичка средства).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7. Тест 1.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8. Техн</w:t>
            </w:r>
            <w:r w:rsidR="003D4AAB" w:rsidRPr="00B22C79">
              <w:rPr>
                <w:rFonts w:ascii="Arial Narrow" w:hAnsi="Arial Narrow"/>
                <w:sz w:val="20"/>
                <w:szCs w:val="20"/>
              </w:rPr>
              <w:t>ике прања зуба (Готлиеб-Орбан-К</w:t>
            </w:r>
            <w:r w:rsidR="003D4AAB" w:rsidRPr="00B22C79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B22C79">
              <w:rPr>
                <w:rFonts w:ascii="Arial Narrow" w:hAnsi="Arial Narrow"/>
                <w:sz w:val="20"/>
                <w:szCs w:val="20"/>
              </w:rPr>
              <w:t>рерова метода, Хоризонтална метода, Вертикална метода).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9. Технике прања зуба (Стиллманова</w:t>
            </w:r>
            <w:r w:rsidR="003D4AAB" w:rsidRPr="00B22C79">
              <w:rPr>
                <w:rFonts w:ascii="Arial Narrow" w:hAnsi="Arial Narrow"/>
                <w:sz w:val="20"/>
                <w:szCs w:val="20"/>
              </w:rPr>
              <w:t xml:space="preserve"> метода, Вибрациона метода по Ч</w:t>
            </w:r>
            <w:r w:rsidRPr="00B22C79">
              <w:rPr>
                <w:rFonts w:ascii="Arial Narrow" w:hAnsi="Arial Narrow"/>
                <w:sz w:val="20"/>
                <w:szCs w:val="20"/>
              </w:rPr>
              <w:t>артерсу,Ротациона метода по Фонесу,Физиолошке методе по Смитху и Белу).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10. Методе детекције и уклањања денталног плака (хемијска контрола ДП, уклањање ДП машинским путем користећи профилактичке пасте).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11.Ручни инструменти за уклањање зубног каменца. Ултразвучни инструменти за уклањање чврстих супрагингивалних зубних наслага.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1</w:t>
            </w:r>
            <w:r w:rsidR="003D4AAB" w:rsidRPr="00B22C79">
              <w:rPr>
                <w:rFonts w:ascii="Arial Narrow" w:hAnsi="Arial Narrow"/>
                <w:sz w:val="20"/>
                <w:szCs w:val="20"/>
              </w:rPr>
              <w:t>2. Индекси оралне хигијене (Гр</w:t>
            </w:r>
            <w:r w:rsidR="003D4AAB" w:rsidRPr="00B22C79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="003D4AAB" w:rsidRPr="00B22C79">
              <w:rPr>
                <w:rFonts w:ascii="Arial Narrow" w:hAnsi="Arial Narrow"/>
                <w:sz w:val="20"/>
                <w:szCs w:val="20"/>
              </w:rPr>
              <w:t>н-Верми</w:t>
            </w:r>
            <w:r w:rsidRPr="00B22C79">
              <w:rPr>
                <w:rFonts w:ascii="Arial Narrow" w:hAnsi="Arial Narrow"/>
                <w:sz w:val="20"/>
                <w:szCs w:val="20"/>
              </w:rPr>
              <w:t>лионов индекс меких наслага, Плак</w:t>
            </w:r>
            <w:r w:rsidR="003D4AAB" w:rsidRPr="00B22C79">
              <w:rPr>
                <w:rFonts w:ascii="Arial Narrow" w:hAnsi="Arial Narrow"/>
                <w:sz w:val="20"/>
                <w:szCs w:val="20"/>
              </w:rPr>
              <w:t xml:space="preserve"> индекс по Силнесу и Лоеу, Гр</w:t>
            </w:r>
            <w:r w:rsidR="003D4AAB" w:rsidRPr="00B22C79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="003E7B0E" w:rsidRPr="00B22C79">
              <w:rPr>
                <w:rFonts w:ascii="Arial Narrow" w:hAnsi="Arial Narrow"/>
                <w:sz w:val="20"/>
                <w:szCs w:val="20"/>
              </w:rPr>
              <w:t>нов индекс зубног каменца, Гр</w:t>
            </w:r>
            <w:r w:rsidR="003E7B0E" w:rsidRPr="00B22C79"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B22C79">
              <w:rPr>
                <w:rFonts w:ascii="Arial Narrow" w:hAnsi="Arial Narrow"/>
                <w:sz w:val="20"/>
                <w:szCs w:val="20"/>
              </w:rPr>
              <w:t xml:space="preserve">нов индекс субгингивалних конкремената) објективна процjена стања оралне хигијене помоћу различитих индекса. 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 xml:space="preserve">13.  Контролни преглед. Учење технике прања зуба. Редовност, учесталост и дужина одржавања оралне хигијене. 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 xml:space="preserve">14.Мотивација и мотивациони принципи. Мотивација пацијента да редовно и правилно одржавају оралну хигијену . </w:t>
            </w:r>
          </w:p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 xml:space="preserve">15.Тест 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E4568" w:rsidRPr="00B22C79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Обавезна литература </w:t>
            </w:r>
          </w:p>
        </w:tc>
      </w:tr>
      <w:tr w:rsidR="003E4568" w:rsidRPr="00B22C79">
        <w:tc>
          <w:tcPr>
            <w:tcW w:w="2512" w:type="dxa"/>
            <w:gridSpan w:val="4"/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Странице (од-до)</w:t>
            </w:r>
          </w:p>
        </w:tc>
      </w:tr>
      <w:tr w:rsidR="003E4568" w:rsidRPr="00B22C79">
        <w:tc>
          <w:tcPr>
            <w:tcW w:w="2512" w:type="dxa"/>
            <w:gridSpan w:val="4"/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Вуловић, M. и сар.</w:t>
            </w:r>
          </w:p>
        </w:tc>
        <w:tc>
          <w:tcPr>
            <w:tcW w:w="4255" w:type="dxa"/>
            <w:gridSpan w:val="9"/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Превентивна стоматологија. Елит Медица, Драслар партнер, Београд.</w:t>
            </w:r>
          </w:p>
        </w:tc>
        <w:tc>
          <w:tcPr>
            <w:tcW w:w="850" w:type="dxa"/>
            <w:gridSpan w:val="2"/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2005.</w:t>
            </w:r>
          </w:p>
        </w:tc>
        <w:tc>
          <w:tcPr>
            <w:tcW w:w="1989" w:type="dxa"/>
            <w:gridSpan w:val="2"/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63-71; 205-213; 267-293; 300-311; 365-368.</w:t>
            </w:r>
          </w:p>
        </w:tc>
      </w:tr>
      <w:tr w:rsidR="003E4568" w:rsidRPr="00B22C79">
        <w:tc>
          <w:tcPr>
            <w:tcW w:w="9606" w:type="dxa"/>
            <w:gridSpan w:val="17"/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Допунска литература</w:t>
            </w:r>
          </w:p>
        </w:tc>
      </w:tr>
      <w:tr w:rsidR="003E4568" w:rsidRPr="00B22C79">
        <w:tc>
          <w:tcPr>
            <w:tcW w:w="2512" w:type="dxa"/>
            <w:gridSpan w:val="4"/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Странице (од-до)</w:t>
            </w:r>
          </w:p>
        </w:tc>
      </w:tr>
      <w:tr w:rsidR="003E4568" w:rsidRPr="00B22C79">
        <w:tc>
          <w:tcPr>
            <w:tcW w:w="2512" w:type="dxa"/>
            <w:gridSpan w:val="4"/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Димитријевић, Б. и сар.</w:t>
            </w:r>
          </w:p>
        </w:tc>
        <w:tc>
          <w:tcPr>
            <w:tcW w:w="4255" w:type="dxa"/>
            <w:gridSpan w:val="9"/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Клиничка пародонтологија.Завод за уџбенике, Београд.</w:t>
            </w:r>
          </w:p>
        </w:tc>
        <w:tc>
          <w:tcPr>
            <w:tcW w:w="850" w:type="dxa"/>
            <w:gridSpan w:val="2"/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2011.</w:t>
            </w:r>
          </w:p>
        </w:tc>
        <w:tc>
          <w:tcPr>
            <w:tcW w:w="1989" w:type="dxa"/>
            <w:gridSpan w:val="2"/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134-145.</w:t>
            </w:r>
          </w:p>
        </w:tc>
      </w:tr>
      <w:tr w:rsidR="003E4568" w:rsidRPr="00B22C79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Проценат</w:t>
            </w:r>
          </w:p>
        </w:tc>
      </w:tr>
      <w:tr w:rsidR="003E4568" w:rsidRPr="00B22C79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3E4568" w:rsidRPr="00B22C79" w:rsidRDefault="003E456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Предиспитне обавезе</w:t>
            </w:r>
          </w:p>
        </w:tc>
      </w:tr>
      <w:tr w:rsidR="006C258A" w:rsidRPr="00B22C79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6C258A" w:rsidRPr="00B22C79" w:rsidRDefault="006C258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C258A" w:rsidRPr="00B22C79" w:rsidRDefault="006C258A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присуство предавањима</w:t>
            </w:r>
            <w:r w:rsidR="00B22C79">
              <w:rPr>
                <w:rFonts w:ascii="Arial Narrow" w:hAnsi="Arial Narrow"/>
                <w:sz w:val="20"/>
                <w:szCs w:val="20"/>
              </w:rPr>
              <w:t>/ вјежбама</w:t>
            </w:r>
          </w:p>
        </w:tc>
        <w:tc>
          <w:tcPr>
            <w:tcW w:w="992" w:type="dxa"/>
            <w:gridSpan w:val="2"/>
            <w:vAlign w:val="center"/>
          </w:tcPr>
          <w:p w:rsidR="006C258A" w:rsidRPr="00B22C79" w:rsidRDefault="00B22C79" w:rsidP="006C258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6C258A" w:rsidRPr="00B22C79" w:rsidRDefault="00B22C79" w:rsidP="006C258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</w:t>
            </w:r>
            <w:r w:rsidR="006C258A" w:rsidRPr="00B22C79">
              <w:rPr>
                <w:rFonts w:ascii="Arial Narrow" w:hAnsi="Arial Narrow"/>
                <w:sz w:val="20"/>
                <w:szCs w:val="20"/>
              </w:rPr>
              <w:t>0%</w:t>
            </w:r>
          </w:p>
        </w:tc>
      </w:tr>
      <w:tr w:rsidR="006C258A" w:rsidRPr="00B22C79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6C258A" w:rsidRPr="00B22C79" w:rsidRDefault="006C258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C258A" w:rsidRPr="00B22C79" w:rsidRDefault="006C258A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 xml:space="preserve">Тест I+II </w:t>
            </w:r>
          </w:p>
        </w:tc>
        <w:tc>
          <w:tcPr>
            <w:tcW w:w="992" w:type="dxa"/>
            <w:gridSpan w:val="2"/>
            <w:vAlign w:val="center"/>
          </w:tcPr>
          <w:p w:rsidR="006C258A" w:rsidRPr="00B22C79" w:rsidRDefault="006C258A" w:rsidP="006C258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6C258A" w:rsidRPr="00B22C79" w:rsidRDefault="006C258A" w:rsidP="006C258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20%</w:t>
            </w:r>
          </w:p>
        </w:tc>
      </w:tr>
      <w:tr w:rsidR="006C258A" w:rsidRPr="00B22C79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6C258A" w:rsidRPr="00B22C79" w:rsidRDefault="006C258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C258A" w:rsidRPr="00B22C79" w:rsidRDefault="006C258A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6C258A" w:rsidRPr="00B22C79" w:rsidRDefault="006C258A" w:rsidP="006C258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6C258A" w:rsidRPr="00B22C79" w:rsidRDefault="006C258A" w:rsidP="006C258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10%</w:t>
            </w:r>
          </w:p>
        </w:tc>
      </w:tr>
      <w:tr w:rsidR="003E4568" w:rsidRPr="00B22C79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3E4568" w:rsidRPr="00B22C79" w:rsidRDefault="003E456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Завршни испит</w:t>
            </w:r>
          </w:p>
        </w:tc>
      </w:tr>
      <w:tr w:rsidR="006C258A" w:rsidRPr="00B22C79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6C258A" w:rsidRPr="00B22C79" w:rsidRDefault="006C258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C258A" w:rsidRPr="00B22C79" w:rsidRDefault="006C258A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 xml:space="preserve"> тест</w:t>
            </w:r>
          </w:p>
        </w:tc>
        <w:tc>
          <w:tcPr>
            <w:tcW w:w="992" w:type="dxa"/>
            <w:gridSpan w:val="2"/>
            <w:vAlign w:val="center"/>
          </w:tcPr>
          <w:p w:rsidR="006C258A" w:rsidRPr="00B22C79" w:rsidRDefault="006C258A" w:rsidP="006C258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1294" w:type="dxa"/>
            <w:vAlign w:val="center"/>
          </w:tcPr>
          <w:p w:rsidR="006C258A" w:rsidRPr="00B22C79" w:rsidRDefault="006C258A" w:rsidP="006C258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2%</w:t>
            </w:r>
          </w:p>
        </w:tc>
      </w:tr>
      <w:tr w:rsidR="006C258A" w:rsidRPr="00B22C79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6C258A" w:rsidRPr="00B22C79" w:rsidRDefault="006C258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C258A" w:rsidRPr="00B22C79" w:rsidRDefault="006C258A">
            <w:pPr>
              <w:spacing w:after="0" w:line="240" w:lineRule="auto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6C258A" w:rsidRPr="00B22C79" w:rsidRDefault="006C258A" w:rsidP="006C258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48</w:t>
            </w:r>
          </w:p>
        </w:tc>
        <w:tc>
          <w:tcPr>
            <w:tcW w:w="1294" w:type="dxa"/>
            <w:vAlign w:val="center"/>
          </w:tcPr>
          <w:p w:rsidR="006C258A" w:rsidRPr="00B22C79" w:rsidRDefault="006C258A" w:rsidP="006C258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48%</w:t>
            </w:r>
          </w:p>
        </w:tc>
      </w:tr>
      <w:tr w:rsidR="003E4568" w:rsidRPr="00B22C79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E4568" w:rsidRPr="00B22C79" w:rsidRDefault="003E4568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3E4568" w:rsidRPr="00B22C79" w:rsidRDefault="00AC14FB" w:rsidP="006C258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3E4568" w:rsidRPr="00B22C79" w:rsidRDefault="00AC14FB" w:rsidP="006C258A">
            <w:pPr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100 %</w:t>
            </w:r>
          </w:p>
        </w:tc>
      </w:tr>
      <w:tr w:rsidR="003E4568" w:rsidRPr="00B22C79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:rsidR="003E4568" w:rsidRPr="00B22C79" w:rsidRDefault="00AC14FB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 w:rsidRPr="00B22C79">
              <w:rPr>
                <w:rFonts w:ascii="Arial Narrow" w:hAnsi="Arial Narrow"/>
                <w:b/>
                <w:sz w:val="20"/>
                <w:szCs w:val="20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3E4568" w:rsidRPr="00B22C79" w:rsidRDefault="006C258A">
            <w:pPr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B22C79">
              <w:rPr>
                <w:rFonts w:ascii="Arial Narrow" w:hAnsi="Arial Narrow"/>
                <w:sz w:val="20"/>
                <w:szCs w:val="20"/>
              </w:rPr>
              <w:t>03.11.2016.год</w:t>
            </w:r>
          </w:p>
        </w:tc>
      </w:tr>
    </w:tbl>
    <w:p w:rsidR="003E4568" w:rsidRDefault="003E4568">
      <w:pPr>
        <w:rPr>
          <w:rFonts w:ascii="Arial Narrow" w:hAnsi="Arial Narrow"/>
          <w:sz w:val="18"/>
          <w:szCs w:val="20"/>
        </w:rPr>
      </w:pPr>
    </w:p>
    <w:sectPr w:rsidR="003E4568" w:rsidSect="003E4568">
      <w:footerReference w:type="default" r:id="rId9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209" w:rsidRDefault="00932209" w:rsidP="003E4568">
      <w:pPr>
        <w:spacing w:after="0" w:line="240" w:lineRule="auto"/>
      </w:pPr>
      <w:r>
        <w:separator/>
      </w:r>
    </w:p>
  </w:endnote>
  <w:endnote w:type="continuationSeparator" w:id="1">
    <w:p w:rsidR="00932209" w:rsidRDefault="00932209" w:rsidP="003E4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568" w:rsidRDefault="003E4568">
    <w:pPr>
      <w:pStyle w:val="Footer"/>
      <w:jc w:val="right"/>
    </w:pPr>
  </w:p>
  <w:p w:rsidR="003E4568" w:rsidRDefault="003E456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209" w:rsidRDefault="00932209" w:rsidP="003E4568">
      <w:pPr>
        <w:spacing w:after="0" w:line="240" w:lineRule="auto"/>
      </w:pPr>
      <w:r>
        <w:separator/>
      </w:r>
    </w:p>
  </w:footnote>
  <w:footnote w:type="continuationSeparator" w:id="1">
    <w:p w:rsidR="00932209" w:rsidRDefault="00932209" w:rsidP="003E4568">
      <w:pPr>
        <w:spacing w:after="0" w:line="240" w:lineRule="auto"/>
      </w:pPr>
      <w:r>
        <w:continuationSeparator/>
      </w:r>
    </w:p>
  </w:footnote>
  <w:footnote w:id="2">
    <w:p w:rsidR="003E4568" w:rsidRDefault="00AC14FB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>Коефицијент студентског оптерећења S</w:t>
      </w:r>
      <w:r>
        <w:rPr>
          <w:rFonts w:ascii="Arial Narrow" w:hAnsi="Arial Narrow"/>
          <w:sz w:val="16"/>
          <w:szCs w:val="16"/>
          <w:vertAlign w:val="subscript"/>
        </w:rPr>
        <w:t>o</w:t>
      </w:r>
      <w:r>
        <w:rPr>
          <w:rFonts w:ascii="Arial Narrow" w:hAnsi="Arial Narrow"/>
          <w:sz w:val="16"/>
          <w:szCs w:val="16"/>
        </w:rPr>
        <w:t>се рачуна на сљедећи начин:</w:t>
      </w:r>
    </w:p>
    <w:p w:rsidR="003E4568" w:rsidRDefault="00AC14FB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а) за студијске програме који не иду на лиценцирање: S</w:t>
      </w:r>
      <w:r>
        <w:rPr>
          <w:rFonts w:ascii="Arial Narrow" w:hAnsi="Arial Narrow"/>
          <w:sz w:val="16"/>
          <w:szCs w:val="16"/>
          <w:vertAlign w:val="subscript"/>
        </w:rPr>
        <w:t>o</w:t>
      </w:r>
      <w:r>
        <w:rPr>
          <w:rFonts w:ascii="Arial Narrow" w:hAnsi="Arial Narrow"/>
          <w:sz w:val="16"/>
          <w:szCs w:val="16"/>
        </w:rPr>
        <w:t xml:space="preserve"> = (укупно оптерећење у семестру за све предмете 900 h – укупно наставно оптерећење П+В у семестру за све предмете _____ h)/ укупно наставно оптерећење П+В у семестру за све предмете _____ h = ____. Погледати садржај обрасца и објашњење.</w:t>
      </w:r>
    </w:p>
    <w:p w:rsidR="003E4568" w:rsidRDefault="00AC14FB">
      <w:pPr>
        <w:pStyle w:val="FootnoteText"/>
        <w:rPr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bordersDoNotSurroundHeader/>
  <w:bordersDoNotSurroundFooter/>
  <w:defaultTabStop w:val="708"/>
  <w:drawingGridHorizontalSpacing w:val="0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useFELayout/>
  </w:compat>
  <w:rsids>
    <w:rsidRoot w:val="003E4568"/>
    <w:rsid w:val="0003764A"/>
    <w:rsid w:val="000F585A"/>
    <w:rsid w:val="00113999"/>
    <w:rsid w:val="0025616A"/>
    <w:rsid w:val="00302A58"/>
    <w:rsid w:val="0032142D"/>
    <w:rsid w:val="00393069"/>
    <w:rsid w:val="003D4AAB"/>
    <w:rsid w:val="003E4568"/>
    <w:rsid w:val="003E7B0E"/>
    <w:rsid w:val="0040388A"/>
    <w:rsid w:val="004409DA"/>
    <w:rsid w:val="00480FF8"/>
    <w:rsid w:val="0053565B"/>
    <w:rsid w:val="005A3E3F"/>
    <w:rsid w:val="00660006"/>
    <w:rsid w:val="006768C2"/>
    <w:rsid w:val="006B24B2"/>
    <w:rsid w:val="006C258A"/>
    <w:rsid w:val="006F4C5E"/>
    <w:rsid w:val="007719A8"/>
    <w:rsid w:val="0081782F"/>
    <w:rsid w:val="00871EC0"/>
    <w:rsid w:val="00932209"/>
    <w:rsid w:val="00A238B2"/>
    <w:rsid w:val="00AC14FB"/>
    <w:rsid w:val="00AF3F97"/>
    <w:rsid w:val="00B22C79"/>
    <w:rsid w:val="00C201EA"/>
    <w:rsid w:val="00C30DC6"/>
    <w:rsid w:val="00CA5655"/>
    <w:rsid w:val="00D41047"/>
    <w:rsid w:val="00D77FE3"/>
    <w:rsid w:val="00E039B0"/>
    <w:rsid w:val="00E25716"/>
    <w:rsid w:val="00EF52E6"/>
    <w:rsid w:val="00F0137D"/>
    <w:rsid w:val="00F23E62"/>
    <w:rsid w:val="00FD15B7"/>
    <w:rsid w:val="00FF1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semiHidden="0"/>
    <w:lsdException w:name="footer" w:semiHidden="0" w:uiPriority="99"/>
    <w:lsdException w:name="caption" w:uiPriority="35" w:qFormat="1"/>
    <w:lsdException w:name="footnote reference" w:uiPriority="9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568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qFormat/>
    <w:rsid w:val="003E4568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456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E4568"/>
    <w:pPr>
      <w:tabs>
        <w:tab w:val="center" w:pos="4513"/>
        <w:tab w:val="right" w:pos="9026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E4568"/>
    <w:pPr>
      <w:spacing w:after="0" w:line="240" w:lineRule="auto"/>
    </w:pPr>
    <w:rPr>
      <w:sz w:val="20"/>
      <w:szCs w:val="20"/>
    </w:rPr>
  </w:style>
  <w:style w:type="paragraph" w:styleId="Header">
    <w:name w:val="header"/>
    <w:basedOn w:val="Normal"/>
    <w:link w:val="HeaderChar"/>
    <w:unhideWhenUsed/>
    <w:rsid w:val="003E4568"/>
    <w:pPr>
      <w:tabs>
        <w:tab w:val="center" w:pos="4513"/>
        <w:tab w:val="right" w:pos="9026"/>
      </w:tabs>
      <w:spacing w:after="0" w:line="240" w:lineRule="auto"/>
    </w:pPr>
  </w:style>
  <w:style w:type="character" w:styleId="FootnoteReference">
    <w:name w:val="footnote reference"/>
    <w:basedOn w:val="DefaultParagraphFont"/>
    <w:uiPriority w:val="99"/>
    <w:semiHidden/>
    <w:unhideWhenUsed/>
    <w:rsid w:val="003E4568"/>
    <w:rPr>
      <w:vertAlign w:val="superscript"/>
    </w:rPr>
  </w:style>
  <w:style w:type="paragraph" w:customStyle="1" w:styleId="ListParagraph1">
    <w:name w:val="List Paragraph1"/>
    <w:basedOn w:val="Normal"/>
    <w:uiPriority w:val="34"/>
    <w:qFormat/>
    <w:rsid w:val="003E4568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rsid w:val="003E4568"/>
  </w:style>
  <w:style w:type="character" w:customStyle="1" w:styleId="FooterChar">
    <w:name w:val="Footer Char"/>
    <w:basedOn w:val="DefaultParagraphFont"/>
    <w:link w:val="Footer"/>
    <w:uiPriority w:val="99"/>
    <w:rsid w:val="003E4568"/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568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E4568"/>
    <w:rPr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3E4568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1129</Words>
  <Characters>6439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_x0001_</vt:lpstr>
    </vt:vector>
  </TitlesOfParts>
  <Company>Hewlett-Packard Company</Company>
  <LinksUpToDate>false</LinksUpToDate>
  <CharactersWithSpaces>7553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_x0001_</dc:title>
  <dc:creator>user</dc:creator>
  <cp:lastModifiedBy>S</cp:lastModifiedBy>
  <cp:revision>13</cp:revision>
  <cp:lastPrinted>2016-06-01T08:13:00Z</cp:lastPrinted>
  <dcterms:created xsi:type="dcterms:W3CDTF">2016-07-15T07:38:00Z</dcterms:created>
  <dcterms:modified xsi:type="dcterms:W3CDTF">2016-11-23T08:39:00Z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1033-9.1.0.4758</vt:lpwstr>
  </property>
</Properties>
</file>